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F61F" w14:textId="2614BF35" w:rsidR="00CA40CD" w:rsidRDefault="00CA40CD" w:rsidP="00AD55CE">
      <w:pPr>
        <w:pStyle w:val="Heading2"/>
        <w:numPr>
          <w:ilvl w:val="0"/>
          <w:numId w:val="0"/>
        </w:numPr>
        <w:rPr>
          <w:rFonts w:cs="Arial"/>
          <w:color w:val="auto"/>
        </w:rPr>
      </w:pPr>
      <w:bookmarkStart w:id="0" w:name="_Toc444592572"/>
      <w:bookmarkStart w:id="1" w:name="_GoBack"/>
      <w:bookmarkEnd w:id="1"/>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0F47D5E9" w14:textId="066E71D1"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51E60C88" w14:textId="7B66914F" w:rsidR="00CA40C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14:paraId="017BA2CA" w14:textId="090CB66C" w:rsidR="00154269" w:rsidRPr="00EB3EFC" w:rsidRDefault="00CA0BEF" w:rsidP="00AD55CE">
      <w:pPr>
        <w:pStyle w:val="Heading2"/>
        <w:numPr>
          <w:ilvl w:val="0"/>
          <w:numId w:val="0"/>
        </w:numPr>
        <w:rPr>
          <w:rFonts w:cs="Arial"/>
          <w:color w:val="auto"/>
        </w:rPr>
      </w:pPr>
      <w:r>
        <w:rPr>
          <w:rFonts w:cs="Arial"/>
          <w:color w:val="auto"/>
        </w:rPr>
        <w:t>PSS4</w:t>
      </w:r>
      <w:r w:rsidR="00FF1B94">
        <w:rPr>
          <w:rFonts w:cs="Arial"/>
          <w:color w:val="auto"/>
        </w:rPr>
        <w:t xml:space="preserve"> </w:t>
      </w:r>
      <w:r w:rsidR="00BF12E4" w:rsidRPr="00EB3EFC">
        <w:rPr>
          <w:rFonts w:cs="Arial"/>
          <w:color w:val="auto"/>
        </w:rPr>
        <w:t>Healthy Weight</w:t>
      </w:r>
      <w:r w:rsidR="00EB3EFC" w:rsidRPr="00EB3EFC">
        <w:rPr>
          <w:rFonts w:cs="Arial"/>
          <w:color w:val="auto"/>
        </w:rPr>
        <w:t xml:space="preserve"> in Adult Secure </w:t>
      </w:r>
      <w:r w:rsidR="008547F9">
        <w:rPr>
          <w:rFonts w:cs="Arial"/>
          <w:color w:val="auto"/>
        </w:rPr>
        <w:t xml:space="preserve">Mental Health </w:t>
      </w:r>
      <w:r w:rsidR="00EB3EFC" w:rsidRPr="00EB3EFC">
        <w:rPr>
          <w:rFonts w:cs="Arial"/>
          <w:color w:val="auto"/>
        </w:rPr>
        <w:t>Services</w:t>
      </w:r>
      <w:r w:rsidR="00CA40CD" w:rsidRPr="00EB3EFC">
        <w:rPr>
          <w:rFonts w:cs="Arial"/>
          <w:color w:val="auto"/>
        </w:rPr>
        <w:t xml:space="preserve"> </w:t>
      </w:r>
      <w:bookmarkEnd w:id="0"/>
    </w:p>
    <w:tbl>
      <w:tblPr>
        <w:tblStyle w:val="TableGrid"/>
        <w:tblW w:w="5500" w:type="pct"/>
        <w:tblLook w:val="04A0" w:firstRow="1" w:lastRow="0" w:firstColumn="1" w:lastColumn="0" w:noHBand="0" w:noVBand="1"/>
      </w:tblPr>
      <w:tblGrid>
        <w:gridCol w:w="2374"/>
        <w:gridCol w:w="427"/>
        <w:gridCol w:w="708"/>
        <w:gridCol w:w="6657"/>
      </w:tblGrid>
      <w:tr w:rsidR="00154269" w:rsidRPr="000412A1" w14:paraId="0495B2AD" w14:textId="77777777" w:rsidTr="00F71B0E">
        <w:tc>
          <w:tcPr>
            <w:tcW w:w="1168" w:type="pct"/>
            <w:shd w:val="clear" w:color="auto" w:fill="4F81BD" w:themeFill="accent1"/>
          </w:tcPr>
          <w:p w14:paraId="7F20C9A4"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832" w:type="pct"/>
            <w:gridSpan w:val="3"/>
            <w:shd w:val="clear" w:color="auto" w:fill="4F81BD" w:themeFill="accent1"/>
          </w:tcPr>
          <w:p w14:paraId="27E48381" w14:textId="5154318D" w:rsidR="00154269" w:rsidRPr="00BF12E4" w:rsidRDefault="00BF12E4" w:rsidP="001F421F">
            <w:pPr>
              <w:rPr>
                <w:rFonts w:cs="Arial"/>
                <w:b/>
                <w:color w:val="FFFFFF" w:themeColor="background1"/>
                <w:szCs w:val="24"/>
              </w:rPr>
            </w:pPr>
            <w:r>
              <w:rPr>
                <w:rFonts w:cs="Arial"/>
                <w:b/>
                <w:color w:val="FFFFFF" w:themeColor="background1"/>
                <w:szCs w:val="24"/>
              </w:rPr>
              <w:t xml:space="preserve">Achieving Healthy Weight in Adult Secure </w:t>
            </w:r>
            <w:r w:rsidR="008547F9">
              <w:rPr>
                <w:rFonts w:cs="Arial"/>
                <w:b/>
                <w:color w:val="FFFFFF" w:themeColor="background1"/>
                <w:szCs w:val="24"/>
              </w:rPr>
              <w:t xml:space="preserve"> MH </w:t>
            </w:r>
            <w:r>
              <w:rPr>
                <w:rFonts w:cs="Arial"/>
                <w:b/>
                <w:color w:val="FFFFFF" w:themeColor="background1"/>
                <w:szCs w:val="24"/>
              </w:rPr>
              <w:t>Services</w:t>
            </w:r>
          </w:p>
        </w:tc>
      </w:tr>
      <w:tr w:rsidR="00326B23" w:rsidRPr="000412A1" w14:paraId="1DD19AFA" w14:textId="77777777" w:rsidTr="00F71B0E">
        <w:tc>
          <w:tcPr>
            <w:tcW w:w="5000" w:type="pct"/>
            <w:gridSpan w:val="4"/>
            <w:shd w:val="clear" w:color="auto" w:fill="BFBFBF" w:themeFill="background1" w:themeFillShade="BF"/>
          </w:tcPr>
          <w:p w14:paraId="7DF43CE8" w14:textId="77777777" w:rsidR="00326B23" w:rsidRPr="00C042DA" w:rsidRDefault="00326B23" w:rsidP="00346B0E">
            <w:pPr>
              <w:pStyle w:val="ListParagraph"/>
              <w:numPr>
                <w:ilvl w:val="0"/>
                <w:numId w:val="2"/>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5A4F3FDE" w14:textId="77777777" w:rsidTr="003376AD">
        <w:tc>
          <w:tcPr>
            <w:tcW w:w="1378" w:type="pct"/>
            <w:gridSpan w:val="2"/>
            <w:shd w:val="clear" w:color="auto" w:fill="D9D9D9" w:themeFill="background1" w:themeFillShade="D9"/>
          </w:tcPr>
          <w:p w14:paraId="0D3324B1" w14:textId="1126BAF6" w:rsidR="00BF12E4" w:rsidRDefault="00023708" w:rsidP="0084461B">
            <w:pPr>
              <w:rPr>
                <w:rFonts w:cs="Arial"/>
                <w:szCs w:val="24"/>
              </w:rPr>
            </w:pPr>
            <w:r>
              <w:rPr>
                <w:rFonts w:cs="Arial"/>
                <w:szCs w:val="24"/>
              </w:rPr>
              <w:t>Indicator Sponsor</w:t>
            </w:r>
            <w:r w:rsidR="008547F9">
              <w:rPr>
                <w:rFonts w:cs="Arial"/>
                <w:szCs w:val="24"/>
              </w:rPr>
              <w:t>s</w:t>
            </w:r>
            <w:r>
              <w:rPr>
                <w:rFonts w:cs="Arial"/>
                <w:szCs w:val="24"/>
              </w:rPr>
              <w:t xml:space="preserve"> </w:t>
            </w:r>
          </w:p>
          <w:p w14:paraId="7E1352CB" w14:textId="77777777" w:rsidR="00023708" w:rsidRDefault="00023708" w:rsidP="0084461B">
            <w:pPr>
              <w:rPr>
                <w:rFonts w:cs="Arial"/>
                <w:szCs w:val="24"/>
              </w:rPr>
            </w:pPr>
            <w:r>
              <w:rPr>
                <w:rFonts w:cs="Arial"/>
                <w:szCs w:val="24"/>
              </w:rPr>
              <w:t>(with email address)</w:t>
            </w:r>
          </w:p>
        </w:tc>
        <w:tc>
          <w:tcPr>
            <w:tcW w:w="3622" w:type="pct"/>
            <w:gridSpan w:val="2"/>
            <w:shd w:val="clear" w:color="auto" w:fill="auto"/>
          </w:tcPr>
          <w:p w14:paraId="3786A881" w14:textId="77777777" w:rsidR="00380FB2" w:rsidRPr="003376AD" w:rsidRDefault="0047277D" w:rsidP="003376AD">
            <w:hyperlink r:id="rId13" w:history="1">
              <w:r w:rsidR="003376AD" w:rsidRPr="003376AD">
                <w:rPr>
                  <w:rStyle w:val="Hyperlink"/>
                </w:rPr>
                <w:t>Louise</w:t>
              </w:r>
            </w:hyperlink>
            <w:hyperlink r:id="rId14" w:history="1">
              <w:r w:rsidR="003376AD" w:rsidRPr="003376AD">
                <w:rPr>
                  <w:rStyle w:val="Hyperlink"/>
                </w:rPr>
                <w:t>.Davies10@nhs.</w:t>
              </w:r>
            </w:hyperlink>
            <w:hyperlink r:id="rId15" w:history="1">
              <w:r w:rsidR="003376AD" w:rsidRPr="003376AD">
                <w:rPr>
                  <w:rStyle w:val="Hyperlink"/>
                </w:rPr>
                <w:t>net</w:t>
              </w:r>
            </w:hyperlink>
          </w:p>
          <w:p w14:paraId="60ADCED1" w14:textId="77777777" w:rsidR="00D7307A" w:rsidRPr="008547F9" w:rsidRDefault="0047277D" w:rsidP="008547F9">
            <w:pPr>
              <w:rPr>
                <w:rFonts w:cs="Arial"/>
                <w:szCs w:val="24"/>
              </w:rPr>
            </w:pPr>
            <w:hyperlink r:id="rId16" w:history="1">
              <w:r w:rsidR="00ED40DC" w:rsidRPr="008547F9">
                <w:rPr>
                  <w:rStyle w:val="Hyperlink"/>
                  <w:rFonts w:cs="Arial"/>
                  <w:szCs w:val="24"/>
                </w:rPr>
                <w:t>rajesh.moholkar@nhs.net</w:t>
              </w:r>
            </w:hyperlink>
          </w:p>
          <w:p w14:paraId="06E41746" w14:textId="77777777" w:rsidR="00D7307A" w:rsidRPr="008547F9" w:rsidRDefault="0047277D" w:rsidP="008547F9">
            <w:pPr>
              <w:rPr>
                <w:rFonts w:cs="Arial"/>
                <w:szCs w:val="24"/>
              </w:rPr>
            </w:pPr>
            <w:hyperlink r:id="rId17" w:history="1">
              <w:r w:rsidR="00ED40DC" w:rsidRPr="008547F9">
                <w:rPr>
                  <w:rStyle w:val="Hyperlink"/>
                  <w:rFonts w:cs="Arial"/>
                  <w:szCs w:val="24"/>
                </w:rPr>
                <w:t>Mehdi.Veisi@beh-mht.nhs.uk</w:t>
              </w:r>
            </w:hyperlink>
          </w:p>
          <w:p w14:paraId="775D88C1" w14:textId="48FD800A" w:rsidR="00D7307A" w:rsidRPr="008547F9" w:rsidRDefault="0047277D" w:rsidP="008547F9">
            <w:pPr>
              <w:rPr>
                <w:rFonts w:cs="Arial"/>
                <w:szCs w:val="24"/>
              </w:rPr>
            </w:pPr>
            <w:hyperlink r:id="rId18" w:history="1">
              <w:r w:rsidR="00ED40DC" w:rsidRPr="008547F9">
                <w:rPr>
                  <w:rStyle w:val="Hyperlink"/>
                  <w:rFonts w:cs="Arial"/>
                  <w:szCs w:val="24"/>
                </w:rPr>
                <w:t>joanna.brook-tanker@dhuft.nhs.uk</w:t>
              </w:r>
            </w:hyperlink>
          </w:p>
          <w:p w14:paraId="465C344D" w14:textId="77777777" w:rsidR="00023708" w:rsidRPr="001E0641" w:rsidRDefault="00023708" w:rsidP="0084461B">
            <w:pPr>
              <w:rPr>
                <w:rFonts w:cs="Arial"/>
                <w:szCs w:val="24"/>
              </w:rPr>
            </w:pPr>
          </w:p>
        </w:tc>
      </w:tr>
      <w:tr w:rsidR="00822294" w:rsidRPr="000412A1" w14:paraId="1CAAED2C" w14:textId="77777777" w:rsidTr="00F71B0E">
        <w:tc>
          <w:tcPr>
            <w:tcW w:w="1378" w:type="pct"/>
            <w:gridSpan w:val="2"/>
            <w:shd w:val="clear" w:color="auto" w:fill="D9D9D9" w:themeFill="background1" w:themeFillShade="D9"/>
          </w:tcPr>
          <w:p w14:paraId="2D5215F2" w14:textId="6DBE6C05" w:rsidR="00822294" w:rsidRPr="000412A1" w:rsidRDefault="00EB3EFC" w:rsidP="0084461B">
            <w:pPr>
              <w:rPr>
                <w:rFonts w:cs="Arial"/>
                <w:szCs w:val="24"/>
              </w:rPr>
            </w:pPr>
            <w:r>
              <w:rPr>
                <w:rFonts w:cs="Arial"/>
                <w:szCs w:val="24"/>
              </w:rPr>
              <w:t>Improving Value</w:t>
            </w:r>
            <w:r w:rsidR="00822294">
              <w:rPr>
                <w:rFonts w:cs="Arial"/>
                <w:szCs w:val="24"/>
              </w:rPr>
              <w:t xml:space="preserve"> Reference</w:t>
            </w:r>
          </w:p>
        </w:tc>
        <w:tc>
          <w:tcPr>
            <w:tcW w:w="3622" w:type="pct"/>
            <w:gridSpan w:val="2"/>
          </w:tcPr>
          <w:p w14:paraId="4120A6C7" w14:textId="77777777" w:rsidR="00822294" w:rsidRPr="00BF12E4" w:rsidRDefault="00BF12E4" w:rsidP="0084461B">
            <w:pPr>
              <w:rPr>
                <w:rFonts w:cs="Arial"/>
                <w:szCs w:val="24"/>
              </w:rPr>
            </w:pPr>
            <w:r>
              <w:rPr>
                <w:rFonts w:cs="Arial"/>
                <w:szCs w:val="24"/>
              </w:rPr>
              <w:t>N/A</w:t>
            </w:r>
          </w:p>
        </w:tc>
      </w:tr>
      <w:tr w:rsidR="00822294" w:rsidRPr="000412A1" w14:paraId="00627B31" w14:textId="77777777" w:rsidTr="00F71B0E">
        <w:tc>
          <w:tcPr>
            <w:tcW w:w="1378" w:type="pct"/>
            <w:gridSpan w:val="2"/>
            <w:shd w:val="clear" w:color="auto" w:fill="D9D9D9" w:themeFill="background1" w:themeFillShade="D9"/>
          </w:tcPr>
          <w:p w14:paraId="64597265" w14:textId="77777777" w:rsidR="00822294" w:rsidRPr="000412A1" w:rsidRDefault="00822294" w:rsidP="0084461B">
            <w:pPr>
              <w:rPr>
                <w:rFonts w:cs="Arial"/>
                <w:szCs w:val="24"/>
              </w:rPr>
            </w:pPr>
            <w:r w:rsidRPr="000412A1">
              <w:rPr>
                <w:rFonts w:cs="Arial"/>
                <w:szCs w:val="24"/>
              </w:rPr>
              <w:t>Duration</w:t>
            </w:r>
          </w:p>
        </w:tc>
        <w:tc>
          <w:tcPr>
            <w:tcW w:w="3622" w:type="pct"/>
            <w:gridSpan w:val="2"/>
          </w:tcPr>
          <w:p w14:paraId="56867C7C" w14:textId="5F1E8C6D" w:rsidR="00822294" w:rsidRPr="00CA40CD" w:rsidRDefault="006E3543" w:rsidP="00BF12E4">
            <w:pPr>
              <w:rPr>
                <w:rFonts w:cs="Arial"/>
                <w:i/>
                <w:szCs w:val="24"/>
              </w:rPr>
            </w:pPr>
            <w:r>
              <w:rPr>
                <w:rFonts w:cs="Arial"/>
                <w:szCs w:val="24"/>
              </w:rPr>
              <w:t>2 years</w:t>
            </w:r>
            <w:r w:rsidR="00D10ACF">
              <w:rPr>
                <w:rFonts w:cs="Arial"/>
                <w:szCs w:val="24"/>
              </w:rPr>
              <w:t xml:space="preserve"> (subject to review after 1 year)</w:t>
            </w:r>
            <w:r w:rsidR="00822294" w:rsidRPr="00C0263E">
              <w:rPr>
                <w:rFonts w:cs="Arial"/>
                <w:szCs w:val="24"/>
              </w:rPr>
              <w:t xml:space="preserve"> </w:t>
            </w:r>
          </w:p>
        </w:tc>
      </w:tr>
      <w:tr w:rsidR="00B77154" w:rsidRPr="000412A1" w14:paraId="4265493B" w14:textId="77777777" w:rsidTr="00F71B0E">
        <w:tc>
          <w:tcPr>
            <w:tcW w:w="1378" w:type="pct"/>
            <w:gridSpan w:val="2"/>
            <w:shd w:val="clear" w:color="auto" w:fill="D9D9D9" w:themeFill="background1" w:themeFillShade="D9"/>
          </w:tcPr>
          <w:p w14:paraId="5D1CA79E" w14:textId="77777777" w:rsidR="00B77154" w:rsidRPr="000412A1" w:rsidRDefault="00B77154" w:rsidP="0084461B">
            <w:pPr>
              <w:rPr>
                <w:rFonts w:cs="Arial"/>
                <w:szCs w:val="24"/>
              </w:rPr>
            </w:pPr>
            <w:r>
              <w:rPr>
                <w:rFonts w:cs="Arial"/>
                <w:szCs w:val="24"/>
              </w:rPr>
              <w:t>CCG Complementarity</w:t>
            </w:r>
          </w:p>
        </w:tc>
        <w:tc>
          <w:tcPr>
            <w:tcW w:w="3622" w:type="pct"/>
            <w:gridSpan w:val="2"/>
          </w:tcPr>
          <w:p w14:paraId="2F5747AB" w14:textId="77777777" w:rsidR="00B77154" w:rsidRPr="00BF12E4" w:rsidRDefault="00BF12E4" w:rsidP="00BF12E4">
            <w:pPr>
              <w:rPr>
                <w:rFonts w:cs="Arial"/>
                <w:szCs w:val="24"/>
              </w:rPr>
            </w:pPr>
            <w:r>
              <w:rPr>
                <w:rFonts w:cs="Arial"/>
                <w:szCs w:val="24"/>
              </w:rPr>
              <w:t>N/A</w:t>
            </w:r>
          </w:p>
        </w:tc>
      </w:tr>
      <w:tr w:rsidR="00C042DA" w:rsidRPr="000412A1" w14:paraId="27BA5A6A" w14:textId="77777777" w:rsidTr="00F71B0E">
        <w:trPr>
          <w:trHeight w:val="1365"/>
        </w:trPr>
        <w:tc>
          <w:tcPr>
            <w:tcW w:w="5000" w:type="pct"/>
            <w:gridSpan w:val="4"/>
          </w:tcPr>
          <w:p w14:paraId="42B73BAB" w14:textId="77777777" w:rsidR="00C042DA" w:rsidRDefault="00C042DA" w:rsidP="0084461B">
            <w:pPr>
              <w:rPr>
                <w:rFonts w:cs="Arial"/>
                <w:b/>
                <w:szCs w:val="24"/>
              </w:rPr>
            </w:pPr>
            <w:r w:rsidRPr="00326B23">
              <w:rPr>
                <w:rFonts w:cs="Arial"/>
                <w:b/>
                <w:szCs w:val="24"/>
                <w:u w:val="single"/>
              </w:rPr>
              <w:t>Problem to be addressed</w:t>
            </w:r>
            <w:r w:rsidR="000F3C6A">
              <w:rPr>
                <w:rFonts w:cs="Arial"/>
                <w:b/>
                <w:szCs w:val="24"/>
                <w:u w:val="single"/>
              </w:rPr>
              <w:t xml:space="preserve"> (maximum 1</w:t>
            </w:r>
            <w:r w:rsidR="003A0C63">
              <w:rPr>
                <w:rFonts w:cs="Arial"/>
                <w:b/>
                <w:szCs w:val="24"/>
                <w:u w:val="single"/>
              </w:rPr>
              <w:t>5</w:t>
            </w:r>
            <w:r w:rsidR="000F3C6A">
              <w:rPr>
                <w:rFonts w:cs="Arial"/>
                <w:b/>
                <w:szCs w:val="24"/>
                <w:u w:val="single"/>
              </w:rPr>
              <w:t>0 words)</w:t>
            </w:r>
            <w:r w:rsidRPr="00A95BE1">
              <w:rPr>
                <w:rFonts w:cs="Arial"/>
                <w:b/>
                <w:szCs w:val="24"/>
              </w:rPr>
              <w:t>:</w:t>
            </w:r>
          </w:p>
          <w:p w14:paraId="49E20798" w14:textId="77777777" w:rsidR="00EB3EFC" w:rsidRPr="00D46AE5" w:rsidRDefault="00EB3EFC" w:rsidP="00EB3EFC">
            <w:pPr>
              <w:rPr>
                <w:rFonts w:cs="Arial"/>
                <w:b/>
                <w:color w:val="FF0000"/>
                <w:szCs w:val="24"/>
              </w:rPr>
            </w:pPr>
            <w:r w:rsidRPr="00D46AE5">
              <w:rPr>
                <w:rFonts w:cs="Arial"/>
                <w:b/>
                <w:i/>
                <w:color w:val="FF0000"/>
                <w:szCs w:val="24"/>
              </w:rPr>
              <w:t>[</w:t>
            </w:r>
            <w:r w:rsidRPr="00D46AE5">
              <w:rPr>
                <w:rFonts w:cs="Arial"/>
                <w:i/>
                <w:color w:val="FF0000"/>
                <w:szCs w:val="24"/>
              </w:rPr>
              <w:t>Briefly characterise the shortfall in quality or efficiency that the indicator is designed to address; detailed evidence should be placed in section D1</w:t>
            </w:r>
            <w:r w:rsidRPr="00D46AE5">
              <w:rPr>
                <w:rFonts w:cs="Arial"/>
                <w:b/>
                <w:i/>
                <w:color w:val="FF0000"/>
                <w:szCs w:val="24"/>
              </w:rPr>
              <w:t>]</w:t>
            </w:r>
            <w:r w:rsidRPr="00D46AE5">
              <w:rPr>
                <w:rFonts w:cs="Arial"/>
                <w:b/>
                <w:color w:val="FF0000"/>
                <w:szCs w:val="24"/>
              </w:rPr>
              <w:t xml:space="preserve"> </w:t>
            </w:r>
          </w:p>
          <w:p w14:paraId="209A3713" w14:textId="77777777" w:rsidR="002A3BC1" w:rsidRDefault="002A3BC1" w:rsidP="002A3BC1">
            <w:pPr>
              <w:rPr>
                <w:rFonts w:cs="Arial"/>
                <w:szCs w:val="24"/>
              </w:rPr>
            </w:pPr>
            <w:r w:rsidRPr="00BF12E4">
              <w:rPr>
                <w:rFonts w:cs="Arial"/>
                <w:szCs w:val="24"/>
              </w:rPr>
              <w:t xml:space="preserve">Causes of obesity </w:t>
            </w:r>
            <w:r>
              <w:rPr>
                <w:rFonts w:cs="Arial"/>
                <w:szCs w:val="24"/>
              </w:rPr>
              <w:t xml:space="preserve">for patients in adult secure services </w:t>
            </w:r>
            <w:r w:rsidRPr="00BF12E4">
              <w:rPr>
                <w:rFonts w:cs="Arial"/>
                <w:szCs w:val="24"/>
              </w:rPr>
              <w:t xml:space="preserve">are complex </w:t>
            </w:r>
            <w:r>
              <w:rPr>
                <w:rFonts w:cs="Arial"/>
                <w:szCs w:val="24"/>
              </w:rPr>
              <w:t>with</w:t>
            </w:r>
            <w:r w:rsidRPr="00BF12E4">
              <w:rPr>
                <w:rFonts w:cs="Arial"/>
                <w:szCs w:val="24"/>
              </w:rPr>
              <w:t xml:space="preserve"> interlinked drivers going beyond </w:t>
            </w:r>
            <w:r>
              <w:rPr>
                <w:rFonts w:cs="Arial"/>
                <w:szCs w:val="24"/>
              </w:rPr>
              <w:t xml:space="preserve">just </w:t>
            </w:r>
            <w:r w:rsidRPr="00BF12E4">
              <w:rPr>
                <w:rFonts w:cs="Arial"/>
                <w:szCs w:val="24"/>
              </w:rPr>
              <w:t xml:space="preserve">eating habits and </w:t>
            </w:r>
            <w:r>
              <w:rPr>
                <w:rFonts w:cs="Arial"/>
                <w:szCs w:val="24"/>
              </w:rPr>
              <w:t xml:space="preserve">physical </w:t>
            </w:r>
            <w:r w:rsidRPr="00BF12E4">
              <w:rPr>
                <w:rFonts w:cs="Arial"/>
                <w:szCs w:val="24"/>
              </w:rPr>
              <w:t>activity levels</w:t>
            </w:r>
            <w:r>
              <w:rPr>
                <w:rFonts w:cs="Arial"/>
                <w:szCs w:val="24"/>
              </w:rPr>
              <w:t xml:space="preserve"> and may relate to the physical effects of pharmacological treatment interventions</w:t>
            </w:r>
            <w:r w:rsidRPr="00BF12E4">
              <w:rPr>
                <w:rFonts w:cs="Arial"/>
                <w:szCs w:val="24"/>
              </w:rPr>
              <w:t xml:space="preserve">. </w:t>
            </w:r>
            <w:r>
              <w:rPr>
                <w:rFonts w:cs="Arial"/>
                <w:szCs w:val="24"/>
              </w:rPr>
              <w:t xml:space="preserve">Developing a service environment and a </w:t>
            </w:r>
            <w:r w:rsidRPr="00BF12E4">
              <w:rPr>
                <w:rFonts w:cs="Arial"/>
                <w:szCs w:val="24"/>
              </w:rPr>
              <w:t xml:space="preserve">systems approach to </w:t>
            </w:r>
            <w:r>
              <w:rPr>
                <w:rFonts w:cs="Arial"/>
                <w:szCs w:val="24"/>
              </w:rPr>
              <w:t xml:space="preserve">healthy lifestyles that takes account of these complexities and the particular needs of patients </w:t>
            </w:r>
            <w:r w:rsidRPr="00BF12E4">
              <w:rPr>
                <w:rFonts w:cs="Arial"/>
                <w:szCs w:val="24"/>
              </w:rPr>
              <w:t xml:space="preserve">is likely to make it easier for patients to </w:t>
            </w:r>
            <w:r>
              <w:rPr>
                <w:rFonts w:cs="Arial"/>
                <w:szCs w:val="24"/>
              </w:rPr>
              <w:t>achieve and maintain healthy weight during admission and beyond</w:t>
            </w:r>
            <w:r w:rsidRPr="00BF12E4">
              <w:rPr>
                <w:rFonts w:cs="Arial"/>
                <w:szCs w:val="24"/>
              </w:rPr>
              <w:t>.</w:t>
            </w:r>
          </w:p>
          <w:p w14:paraId="37508991" w14:textId="77777777" w:rsidR="00BF12E4" w:rsidRPr="000412A1" w:rsidRDefault="00BF12E4" w:rsidP="00BF12E4">
            <w:pPr>
              <w:rPr>
                <w:rFonts w:cs="Arial"/>
                <w:szCs w:val="24"/>
              </w:rPr>
            </w:pPr>
          </w:p>
        </w:tc>
      </w:tr>
      <w:tr w:rsidR="00326B23" w:rsidRPr="000412A1" w14:paraId="6C4E07FD" w14:textId="77777777" w:rsidTr="00F71B0E">
        <w:tc>
          <w:tcPr>
            <w:tcW w:w="5000" w:type="pct"/>
            <w:gridSpan w:val="4"/>
          </w:tcPr>
          <w:p w14:paraId="332B6D13" w14:textId="77777777" w:rsidR="00326B23" w:rsidRDefault="00326B23" w:rsidP="00326B23">
            <w:pPr>
              <w:rPr>
                <w:rFonts w:cs="Arial"/>
                <w:b/>
                <w:szCs w:val="24"/>
                <w:u w:val="single"/>
              </w:rPr>
            </w:pPr>
            <w:r w:rsidRPr="00326B23">
              <w:rPr>
                <w:rFonts w:cs="Arial"/>
                <w:b/>
                <w:szCs w:val="24"/>
                <w:u w:val="single"/>
              </w:rPr>
              <w:t>Change sought:</w:t>
            </w:r>
          </w:p>
          <w:p w14:paraId="4C1E830C" w14:textId="77777777" w:rsidR="00EB3EFC" w:rsidRPr="00A95BE1" w:rsidRDefault="00EB3EFC" w:rsidP="00EB3EFC">
            <w:pPr>
              <w:rPr>
                <w:rFonts w:cs="Arial"/>
                <w:b/>
                <w:i/>
                <w:szCs w:val="24"/>
              </w:rPr>
            </w:pPr>
            <w:r w:rsidRPr="004E377A">
              <w:rPr>
                <w:rFonts w:cs="Arial"/>
                <w:i/>
                <w:color w:val="FF0000"/>
                <w:szCs w:val="24"/>
              </w:rPr>
              <w:t>[Specify what change in behaviour is sought in general terms</w:t>
            </w:r>
            <w:r>
              <w:rPr>
                <w:rFonts w:cs="Arial"/>
                <w:i/>
                <w:color w:val="FF0000"/>
                <w:szCs w:val="24"/>
              </w:rPr>
              <w:t>, with detailed specification set out in section C</w:t>
            </w:r>
            <w:r w:rsidRPr="00D46AE5">
              <w:rPr>
                <w:rFonts w:cs="Arial"/>
                <w:i/>
                <w:color w:val="FF0000"/>
                <w:szCs w:val="24"/>
              </w:rPr>
              <w:t>4</w:t>
            </w:r>
            <w:r w:rsidRPr="00D46AE5">
              <w:rPr>
                <w:rFonts w:cs="Arial"/>
                <w:b/>
                <w:i/>
                <w:color w:val="FF0000"/>
                <w:szCs w:val="24"/>
              </w:rPr>
              <w:t xml:space="preserve">.] </w:t>
            </w:r>
          </w:p>
          <w:p w14:paraId="24044034" w14:textId="0A1045F2" w:rsidR="00D46D39" w:rsidRDefault="003E63B9" w:rsidP="00D46D39">
            <w:pPr>
              <w:rPr>
                <w:rFonts w:cs="Arial"/>
                <w:szCs w:val="24"/>
              </w:rPr>
            </w:pPr>
            <w:r w:rsidRPr="005A5EB3">
              <w:rPr>
                <w:rFonts w:cs="Arial"/>
                <w:szCs w:val="24"/>
              </w:rPr>
              <w:t xml:space="preserve">The indicator has </w:t>
            </w:r>
            <w:r w:rsidR="005F1A5F">
              <w:rPr>
                <w:rFonts w:cs="Arial"/>
                <w:szCs w:val="24"/>
              </w:rPr>
              <w:t>3</w:t>
            </w:r>
            <w:r w:rsidRPr="005A5EB3">
              <w:rPr>
                <w:rFonts w:cs="Arial"/>
                <w:szCs w:val="24"/>
              </w:rPr>
              <w:t xml:space="preserve"> </w:t>
            </w:r>
            <w:r w:rsidR="005F551E">
              <w:rPr>
                <w:rFonts w:cs="Arial"/>
                <w:szCs w:val="24"/>
              </w:rPr>
              <w:t>strategic</w:t>
            </w:r>
            <w:r w:rsidR="00D46D39">
              <w:rPr>
                <w:rFonts w:cs="Arial"/>
                <w:szCs w:val="24"/>
              </w:rPr>
              <w:t xml:space="preserve"> goals</w:t>
            </w:r>
          </w:p>
          <w:p w14:paraId="521FDD9C" w14:textId="0BAF9530" w:rsidR="00D46D39" w:rsidRDefault="005F551E" w:rsidP="00923EAB">
            <w:pPr>
              <w:pStyle w:val="ListParagraph"/>
              <w:numPr>
                <w:ilvl w:val="0"/>
                <w:numId w:val="6"/>
              </w:numPr>
              <w:rPr>
                <w:rFonts w:eastAsiaTheme="minorHAnsi"/>
              </w:rPr>
            </w:pPr>
            <w:r>
              <w:rPr>
                <w:rFonts w:cs="Arial"/>
                <w:szCs w:val="24"/>
              </w:rPr>
              <w:t>To deliver</w:t>
            </w:r>
            <w:r w:rsidR="00D46D39" w:rsidRPr="00D46D39">
              <w:rPr>
                <w:rFonts w:cs="Arial"/>
                <w:szCs w:val="24"/>
              </w:rPr>
              <w:t xml:space="preserve"> </w:t>
            </w:r>
            <w:r w:rsidR="00D46D39" w:rsidRPr="00D46D39">
              <w:rPr>
                <w:rFonts w:eastAsiaTheme="minorHAnsi"/>
              </w:rPr>
              <w:t xml:space="preserve">a healthy service </w:t>
            </w:r>
            <w:r w:rsidR="00BF12E4" w:rsidRPr="00D46D39">
              <w:rPr>
                <w:rFonts w:eastAsiaTheme="minorHAnsi"/>
              </w:rPr>
              <w:t xml:space="preserve">environment </w:t>
            </w:r>
            <w:r w:rsidR="005F1A5F">
              <w:rPr>
                <w:rFonts w:eastAsiaTheme="minorHAnsi"/>
              </w:rPr>
              <w:t>in adult secure services regardless of security level</w:t>
            </w:r>
          </w:p>
          <w:p w14:paraId="2B8597E5" w14:textId="4905BF01" w:rsidR="00BF12E4" w:rsidRDefault="005F551E" w:rsidP="00923EAB">
            <w:pPr>
              <w:pStyle w:val="ListParagraph"/>
              <w:numPr>
                <w:ilvl w:val="0"/>
                <w:numId w:val="6"/>
              </w:numPr>
              <w:rPr>
                <w:rFonts w:eastAsiaTheme="minorHAnsi"/>
              </w:rPr>
            </w:pPr>
            <w:r>
              <w:rPr>
                <w:rFonts w:eastAsiaTheme="minorHAnsi"/>
              </w:rPr>
              <w:t>To promote and increase</w:t>
            </w:r>
            <w:r w:rsidR="00D46D39">
              <w:rPr>
                <w:rFonts w:eastAsiaTheme="minorHAnsi"/>
              </w:rPr>
              <w:t xml:space="preserve"> healthy</w:t>
            </w:r>
            <w:r w:rsidR="00D46D39" w:rsidRPr="00D46D39">
              <w:rPr>
                <w:rFonts w:eastAsiaTheme="minorHAnsi"/>
              </w:rPr>
              <w:t xml:space="preserve"> lifestyle choices including increased physical activity </w:t>
            </w:r>
            <w:r w:rsidR="007B3228">
              <w:rPr>
                <w:rFonts w:eastAsiaTheme="minorHAnsi"/>
              </w:rPr>
              <w:t xml:space="preserve">(in line with expectations set out in NHS England guidance) </w:t>
            </w:r>
            <w:r w:rsidR="00D46D39" w:rsidRPr="00D46D39">
              <w:rPr>
                <w:rFonts w:eastAsiaTheme="minorHAnsi"/>
              </w:rPr>
              <w:t>and health</w:t>
            </w:r>
            <w:r w:rsidR="00D46D39">
              <w:rPr>
                <w:rFonts w:eastAsiaTheme="minorHAnsi"/>
              </w:rPr>
              <w:t>ier</w:t>
            </w:r>
            <w:r w:rsidR="00D46D39" w:rsidRPr="00D46D39">
              <w:rPr>
                <w:rFonts w:eastAsiaTheme="minorHAnsi"/>
              </w:rPr>
              <w:t xml:space="preserve"> eating</w:t>
            </w:r>
            <w:r>
              <w:rPr>
                <w:rFonts w:eastAsiaTheme="minorHAnsi"/>
              </w:rPr>
              <w:t xml:space="preserve"> in all patients</w:t>
            </w:r>
            <w:r w:rsidR="007B3228">
              <w:rPr>
                <w:rFonts w:eastAsiaTheme="minorHAnsi"/>
              </w:rPr>
              <w:t xml:space="preserve"> in adult secure services</w:t>
            </w:r>
          </w:p>
          <w:p w14:paraId="00748BB3" w14:textId="6625DE12" w:rsidR="00D46D39" w:rsidRPr="00A012B5" w:rsidRDefault="007B3228" w:rsidP="00923EAB">
            <w:pPr>
              <w:pStyle w:val="ListParagraph"/>
              <w:numPr>
                <w:ilvl w:val="0"/>
                <w:numId w:val="6"/>
              </w:numPr>
              <w:rPr>
                <w:rFonts w:cs="Arial"/>
                <w:b/>
                <w:szCs w:val="24"/>
                <w:u w:val="single"/>
              </w:rPr>
            </w:pPr>
            <w:r>
              <w:rPr>
                <w:rFonts w:eastAsiaTheme="minorHAnsi"/>
              </w:rPr>
              <w:t xml:space="preserve">To ensure continuity in approach </w:t>
            </w:r>
            <w:r w:rsidR="005F1A5F">
              <w:rPr>
                <w:rFonts w:eastAsiaTheme="minorHAnsi"/>
              </w:rPr>
              <w:t xml:space="preserve">and promotion of good practice </w:t>
            </w:r>
            <w:r>
              <w:rPr>
                <w:rFonts w:eastAsiaTheme="minorHAnsi"/>
              </w:rPr>
              <w:t>across high, medium and low secure services</w:t>
            </w:r>
            <w:r w:rsidR="005F1A5F">
              <w:rPr>
                <w:rFonts w:eastAsiaTheme="minorHAnsi"/>
              </w:rPr>
              <w:t xml:space="preserve"> </w:t>
            </w:r>
          </w:p>
          <w:p w14:paraId="55C53B5E" w14:textId="77777777" w:rsidR="00A012B5" w:rsidRPr="00281C31" w:rsidRDefault="00A012B5" w:rsidP="00A012B5">
            <w:pPr>
              <w:pStyle w:val="ListParagraph"/>
              <w:rPr>
                <w:rFonts w:cs="Arial"/>
                <w:b/>
                <w:szCs w:val="24"/>
                <w:u w:val="single"/>
              </w:rPr>
            </w:pPr>
          </w:p>
          <w:p w14:paraId="765CF36D" w14:textId="151C88AF" w:rsidR="00183EB0" w:rsidRDefault="00356337" w:rsidP="00281C31">
            <w:pPr>
              <w:rPr>
                <w:rFonts w:cs="Arial"/>
                <w:b/>
                <w:szCs w:val="24"/>
                <w:u w:val="single"/>
              </w:rPr>
            </w:pPr>
            <w:r>
              <w:rPr>
                <w:rFonts w:cs="Arial"/>
                <w:b/>
                <w:szCs w:val="24"/>
                <w:u w:val="single"/>
              </w:rPr>
              <w:t>Specifically:</w:t>
            </w:r>
          </w:p>
          <w:p w14:paraId="0DB1A8C1" w14:textId="64FA628A" w:rsidR="00043230" w:rsidRPr="00A012B5" w:rsidRDefault="00043230" w:rsidP="00A012B5">
            <w:pPr>
              <w:rPr>
                <w:rFonts w:cs="Arial"/>
                <w:szCs w:val="24"/>
              </w:rPr>
            </w:pPr>
            <w:r w:rsidRPr="00A012B5">
              <w:rPr>
                <w:rFonts w:cs="Arial"/>
                <w:szCs w:val="24"/>
              </w:rPr>
              <w:t xml:space="preserve">Providers will demonstrate that they </w:t>
            </w:r>
          </w:p>
          <w:p w14:paraId="5FD1E758" w14:textId="57419997" w:rsidR="00043230" w:rsidRDefault="00043230" w:rsidP="00923EAB">
            <w:pPr>
              <w:pStyle w:val="ListParagraph"/>
              <w:numPr>
                <w:ilvl w:val="0"/>
                <w:numId w:val="10"/>
              </w:numPr>
              <w:rPr>
                <w:rFonts w:cs="Arial"/>
                <w:szCs w:val="24"/>
              </w:rPr>
            </w:pPr>
            <w:r>
              <w:rPr>
                <w:rFonts w:cs="Arial"/>
                <w:szCs w:val="24"/>
              </w:rPr>
              <w:t xml:space="preserve">Understand </w:t>
            </w:r>
            <w:r w:rsidRPr="00043230">
              <w:rPr>
                <w:rFonts w:cs="Arial"/>
                <w:szCs w:val="24"/>
              </w:rPr>
              <w:t>why change is required</w:t>
            </w:r>
            <w:r>
              <w:rPr>
                <w:rFonts w:cs="Arial"/>
                <w:szCs w:val="24"/>
              </w:rPr>
              <w:t xml:space="preserve"> in each service </w:t>
            </w:r>
            <w:r w:rsidRPr="00043230">
              <w:rPr>
                <w:rFonts w:cs="Arial"/>
                <w:szCs w:val="24"/>
              </w:rPr>
              <w:t xml:space="preserve"> </w:t>
            </w:r>
          </w:p>
          <w:p w14:paraId="23164C48" w14:textId="77777777" w:rsidR="00720A86" w:rsidRDefault="00043230" w:rsidP="00923EAB">
            <w:pPr>
              <w:pStyle w:val="ListParagraph"/>
              <w:numPr>
                <w:ilvl w:val="0"/>
                <w:numId w:val="10"/>
              </w:numPr>
              <w:rPr>
                <w:rFonts w:cs="Arial"/>
                <w:szCs w:val="24"/>
              </w:rPr>
            </w:pPr>
            <w:r>
              <w:rPr>
                <w:rFonts w:cs="Arial"/>
                <w:szCs w:val="24"/>
              </w:rPr>
              <w:t>C</w:t>
            </w:r>
            <w:r w:rsidRPr="00043230">
              <w:rPr>
                <w:rFonts w:cs="Arial"/>
                <w:szCs w:val="24"/>
              </w:rPr>
              <w:t xml:space="preserve">an identify </w:t>
            </w:r>
            <w:r>
              <w:rPr>
                <w:rFonts w:cs="Arial"/>
                <w:szCs w:val="24"/>
              </w:rPr>
              <w:t xml:space="preserve">the </w:t>
            </w:r>
            <w:r w:rsidR="0095577F">
              <w:rPr>
                <w:rFonts w:cs="Arial"/>
                <w:szCs w:val="24"/>
              </w:rPr>
              <w:t xml:space="preserve">scale and </w:t>
            </w:r>
            <w:r>
              <w:rPr>
                <w:rFonts w:cs="Arial"/>
                <w:szCs w:val="24"/>
              </w:rPr>
              <w:t xml:space="preserve">nature of change needed </w:t>
            </w:r>
            <w:r w:rsidR="00A012B5">
              <w:rPr>
                <w:rFonts w:cs="Arial"/>
                <w:szCs w:val="24"/>
              </w:rPr>
              <w:t xml:space="preserve">in each service </w:t>
            </w:r>
          </w:p>
          <w:p w14:paraId="2E0C575D" w14:textId="1866F14E" w:rsidR="00720A86" w:rsidRDefault="00720A86" w:rsidP="00923EAB">
            <w:pPr>
              <w:pStyle w:val="ListParagraph"/>
              <w:numPr>
                <w:ilvl w:val="0"/>
                <w:numId w:val="10"/>
              </w:numPr>
              <w:rPr>
                <w:rFonts w:cs="Arial"/>
                <w:szCs w:val="24"/>
              </w:rPr>
            </w:pPr>
            <w:r>
              <w:rPr>
                <w:rFonts w:cs="Arial"/>
                <w:szCs w:val="24"/>
              </w:rPr>
              <w:t>Can</w:t>
            </w:r>
            <w:r w:rsidR="00043230">
              <w:rPr>
                <w:rFonts w:cs="Arial"/>
                <w:szCs w:val="24"/>
              </w:rPr>
              <w:t xml:space="preserve"> </w:t>
            </w:r>
            <w:r w:rsidR="00A012B5">
              <w:rPr>
                <w:rFonts w:cs="Arial"/>
                <w:szCs w:val="24"/>
              </w:rPr>
              <w:t xml:space="preserve">devise </w:t>
            </w:r>
            <w:r w:rsidR="00043230">
              <w:rPr>
                <w:rFonts w:cs="Arial"/>
                <w:szCs w:val="24"/>
              </w:rPr>
              <w:t>a</w:t>
            </w:r>
            <w:r>
              <w:rPr>
                <w:rFonts w:cs="Arial"/>
                <w:szCs w:val="24"/>
              </w:rPr>
              <w:t>n effective</w:t>
            </w:r>
            <w:r w:rsidR="00043230">
              <w:rPr>
                <w:rFonts w:cs="Arial"/>
                <w:szCs w:val="24"/>
              </w:rPr>
              <w:t xml:space="preserve"> change programme </w:t>
            </w:r>
            <w:r w:rsidR="002A3BC1">
              <w:rPr>
                <w:rFonts w:cs="Arial"/>
                <w:szCs w:val="24"/>
              </w:rPr>
              <w:t>and</w:t>
            </w:r>
            <w:r>
              <w:rPr>
                <w:rFonts w:cs="Arial"/>
                <w:szCs w:val="24"/>
              </w:rPr>
              <w:t xml:space="preserve"> outcome metrics </w:t>
            </w:r>
            <w:r w:rsidR="00043230">
              <w:rPr>
                <w:rFonts w:cs="Arial"/>
                <w:szCs w:val="24"/>
              </w:rPr>
              <w:t>to deliver the action needed in each service</w:t>
            </w:r>
          </w:p>
          <w:p w14:paraId="70DF48A7" w14:textId="22E557DA" w:rsidR="00043230" w:rsidRDefault="00720A86" w:rsidP="00923EAB">
            <w:pPr>
              <w:pStyle w:val="ListParagraph"/>
              <w:numPr>
                <w:ilvl w:val="0"/>
                <w:numId w:val="10"/>
              </w:numPr>
              <w:rPr>
                <w:rFonts w:cs="Arial"/>
                <w:szCs w:val="24"/>
              </w:rPr>
            </w:pPr>
            <w:r>
              <w:rPr>
                <w:rFonts w:cs="Arial"/>
                <w:szCs w:val="24"/>
              </w:rPr>
              <w:t xml:space="preserve">Have robust corporate and service commitment to change with the underpinning governance, communication and involvement systems, processes and structures </w:t>
            </w:r>
            <w:r>
              <w:rPr>
                <w:rFonts w:cs="Arial"/>
                <w:szCs w:val="24"/>
              </w:rPr>
              <w:lastRenderedPageBreak/>
              <w:t>needed to underpin programme design, delivery and oversight</w:t>
            </w:r>
            <w:r w:rsidR="00043230">
              <w:rPr>
                <w:rFonts w:cs="Arial"/>
                <w:szCs w:val="24"/>
              </w:rPr>
              <w:t xml:space="preserve"> </w:t>
            </w:r>
          </w:p>
          <w:p w14:paraId="7ABBBD47" w14:textId="79F62009" w:rsidR="00043230" w:rsidRPr="00A012B5" w:rsidRDefault="00043230" w:rsidP="00923EAB">
            <w:pPr>
              <w:pStyle w:val="ListParagraph"/>
              <w:numPr>
                <w:ilvl w:val="0"/>
                <w:numId w:val="10"/>
              </w:numPr>
              <w:rPr>
                <w:rFonts w:cs="Arial"/>
                <w:szCs w:val="24"/>
              </w:rPr>
            </w:pPr>
            <w:r w:rsidRPr="00A012B5">
              <w:rPr>
                <w:rFonts w:cs="Arial"/>
                <w:szCs w:val="24"/>
              </w:rPr>
              <w:t>Can evaluate</w:t>
            </w:r>
            <w:r w:rsidR="00A012B5" w:rsidRPr="00A012B5">
              <w:rPr>
                <w:rFonts w:cs="Arial"/>
                <w:szCs w:val="24"/>
              </w:rPr>
              <w:t xml:space="preserve"> and </w:t>
            </w:r>
            <w:r w:rsidRPr="00A012B5">
              <w:rPr>
                <w:rFonts w:cs="Arial"/>
                <w:szCs w:val="24"/>
              </w:rPr>
              <w:t>understand the outcomes of the service change programme</w:t>
            </w:r>
            <w:r w:rsidR="00A012B5" w:rsidRPr="00A012B5">
              <w:rPr>
                <w:rFonts w:cs="Arial"/>
                <w:szCs w:val="24"/>
              </w:rPr>
              <w:t xml:space="preserve"> revising it as needed in response</w:t>
            </w:r>
          </w:p>
          <w:p w14:paraId="4E09A450" w14:textId="77777777" w:rsidR="0001254D" w:rsidRDefault="0001254D" w:rsidP="00043230">
            <w:pPr>
              <w:rPr>
                <w:rFonts w:cs="Arial"/>
                <w:szCs w:val="24"/>
              </w:rPr>
            </w:pPr>
          </w:p>
          <w:p w14:paraId="37CFAE8D" w14:textId="41C15A9C" w:rsidR="00043230" w:rsidRDefault="0001254D" w:rsidP="00043230">
            <w:pPr>
              <w:rPr>
                <w:rFonts w:cs="Arial"/>
                <w:szCs w:val="24"/>
              </w:rPr>
            </w:pPr>
            <w:r w:rsidRPr="0001254D">
              <w:rPr>
                <w:rFonts w:cs="Arial"/>
                <w:szCs w:val="24"/>
              </w:rPr>
              <w:t xml:space="preserve">See appendix for guidance </w:t>
            </w:r>
            <w:r w:rsidR="00720A86">
              <w:rPr>
                <w:rFonts w:cs="Arial"/>
                <w:szCs w:val="24"/>
              </w:rPr>
              <w:t>on</w:t>
            </w:r>
            <w:r>
              <w:rPr>
                <w:rFonts w:cs="Arial"/>
                <w:szCs w:val="24"/>
              </w:rPr>
              <w:t xml:space="preserve"> understanding and delivering the change needed.</w:t>
            </w:r>
          </w:p>
          <w:p w14:paraId="3F20E716" w14:textId="45BB26E3" w:rsidR="00043230" w:rsidRPr="00043230" w:rsidRDefault="00043230" w:rsidP="00043230">
            <w:pPr>
              <w:rPr>
                <w:rFonts w:cs="Arial"/>
                <w:szCs w:val="24"/>
              </w:rPr>
            </w:pPr>
          </w:p>
        </w:tc>
      </w:tr>
      <w:tr w:rsidR="00822294" w:rsidRPr="000412A1" w14:paraId="65033603" w14:textId="77777777" w:rsidTr="00F71B0E">
        <w:tc>
          <w:tcPr>
            <w:tcW w:w="5000" w:type="pct"/>
            <w:gridSpan w:val="4"/>
            <w:shd w:val="clear" w:color="auto" w:fill="FFC000"/>
          </w:tcPr>
          <w:p w14:paraId="08955C51" w14:textId="11942171" w:rsidR="00822294" w:rsidRPr="00C042DA" w:rsidRDefault="007B3228" w:rsidP="00346B0E">
            <w:pPr>
              <w:pStyle w:val="ListParagraph"/>
              <w:numPr>
                <w:ilvl w:val="0"/>
                <w:numId w:val="2"/>
              </w:numPr>
              <w:rPr>
                <w:rFonts w:cs="Arial"/>
                <w:i/>
                <w:szCs w:val="24"/>
              </w:rPr>
            </w:pPr>
            <w:r>
              <w:lastRenderedPageBreak/>
              <w:br w:type="page"/>
            </w:r>
            <w:r w:rsidR="00822294" w:rsidRPr="00C042DA">
              <w:rPr>
                <w:rFonts w:cs="Arial"/>
                <w:b/>
                <w:szCs w:val="24"/>
              </w:rPr>
              <w:t>CONTRACT SPECIFIC INFORMATION</w:t>
            </w:r>
            <w:r w:rsidR="00822294"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00822294" w:rsidRPr="00C042DA">
              <w:rPr>
                <w:rFonts w:cs="Arial"/>
                <w:i/>
                <w:szCs w:val="24"/>
              </w:rPr>
              <w:t>sections C below)</w:t>
            </w:r>
          </w:p>
        </w:tc>
      </w:tr>
      <w:tr w:rsidR="004B2DC0" w:rsidRPr="000412A1" w14:paraId="1CA11F3D" w14:textId="77777777" w:rsidTr="00F71B0E">
        <w:tc>
          <w:tcPr>
            <w:tcW w:w="1168" w:type="pct"/>
            <w:shd w:val="clear" w:color="auto" w:fill="D9D9D9" w:themeFill="background1" w:themeFillShade="D9"/>
          </w:tcPr>
          <w:p w14:paraId="473BFFD5" w14:textId="77777777" w:rsidR="004B2DC0" w:rsidRDefault="00970BD6" w:rsidP="00E81AE2">
            <w:pPr>
              <w:rPr>
                <w:rFonts w:cs="Arial"/>
                <w:szCs w:val="24"/>
              </w:rPr>
            </w:pPr>
            <w:r w:rsidRPr="00D95C75">
              <w:rPr>
                <w:rFonts w:cs="Arial"/>
                <w:b/>
                <w:szCs w:val="24"/>
                <w:u w:val="single"/>
              </w:rPr>
              <w:t>B1.</w:t>
            </w:r>
            <w:r w:rsidR="004B2DC0" w:rsidRPr="00D95C75">
              <w:rPr>
                <w:rFonts w:cs="Arial"/>
                <w:b/>
                <w:szCs w:val="24"/>
                <w:u w:val="single"/>
              </w:rPr>
              <w:t>Provider</w:t>
            </w:r>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832" w:type="pct"/>
            <w:gridSpan w:val="3"/>
            <w:shd w:val="clear" w:color="auto" w:fill="FFFF00"/>
          </w:tcPr>
          <w:p w14:paraId="63D27A0D" w14:textId="1C52D191" w:rsidR="004B2DC0" w:rsidRPr="004B2DC0" w:rsidRDefault="00300C0A" w:rsidP="00F506AC">
            <w:pPr>
              <w:rPr>
                <w:rFonts w:cs="Arial"/>
                <w:i/>
                <w:szCs w:val="24"/>
              </w:rPr>
            </w:pPr>
            <w:r w:rsidRPr="004E377A">
              <w:rPr>
                <w:rFonts w:cs="Arial"/>
                <w:i/>
                <w:color w:val="FF0000"/>
                <w:szCs w:val="24"/>
              </w:rPr>
              <w:t>[Insert name of provider ]</w:t>
            </w:r>
          </w:p>
        </w:tc>
      </w:tr>
      <w:tr w:rsidR="001350E0" w:rsidRPr="000412A1" w14:paraId="5D4916FB" w14:textId="77777777" w:rsidTr="00F71B0E">
        <w:tc>
          <w:tcPr>
            <w:tcW w:w="1168" w:type="pct"/>
            <w:shd w:val="clear" w:color="auto" w:fill="D9D9D9" w:themeFill="background1" w:themeFillShade="D9"/>
          </w:tcPr>
          <w:p w14:paraId="6C382AD1"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41CF94F4" w14:textId="77777777"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p w14:paraId="53922663" w14:textId="77777777" w:rsidR="001350E0" w:rsidRPr="00D95C75" w:rsidRDefault="001350E0" w:rsidP="00F506AC">
            <w:pPr>
              <w:rPr>
                <w:rFonts w:cs="Arial"/>
                <w:b/>
                <w:szCs w:val="24"/>
                <w:u w:val="single"/>
              </w:rPr>
            </w:pPr>
          </w:p>
        </w:tc>
        <w:tc>
          <w:tcPr>
            <w:tcW w:w="3832" w:type="pct"/>
            <w:gridSpan w:val="3"/>
            <w:shd w:val="clear" w:color="auto" w:fill="FFFF00"/>
          </w:tcPr>
          <w:p w14:paraId="28D78453" w14:textId="77777777" w:rsidR="001350E0" w:rsidRDefault="00822294" w:rsidP="00822294">
            <w:pPr>
              <w:rPr>
                <w:rFonts w:cs="Arial"/>
                <w:i/>
                <w:color w:val="FF0000"/>
                <w:szCs w:val="24"/>
              </w:rPr>
            </w:pPr>
            <w:r>
              <w:rPr>
                <w:rFonts w:cs="Arial"/>
                <w:szCs w:val="24"/>
              </w:rPr>
              <w:t>201</w:t>
            </w:r>
            <w:r w:rsidR="00F506AC">
              <w:rPr>
                <w:rFonts w:cs="Arial"/>
                <w:szCs w:val="24"/>
              </w:rPr>
              <w:t>9/20 2020/21</w:t>
            </w:r>
            <w:r w:rsidR="001350E0">
              <w:rPr>
                <w:rFonts w:cs="Arial"/>
                <w:szCs w:val="24"/>
              </w:rPr>
              <w:t xml:space="preserve"> </w:t>
            </w:r>
            <w:r w:rsidR="001350E0" w:rsidRPr="00A16EAF">
              <w:rPr>
                <w:rFonts w:cs="Arial"/>
                <w:i/>
                <w:color w:val="FF0000"/>
                <w:szCs w:val="24"/>
              </w:rPr>
              <w:t>[</w:t>
            </w:r>
            <w:r w:rsidR="001350E0" w:rsidRPr="001350E0">
              <w:rPr>
                <w:rFonts w:cs="Arial"/>
                <w:i/>
                <w:color w:val="FF0000"/>
                <w:szCs w:val="24"/>
              </w:rPr>
              <w:t>Adjust locally</w:t>
            </w:r>
            <w:r w:rsidR="001350E0">
              <w:rPr>
                <w:rFonts w:cs="Arial"/>
                <w:i/>
                <w:color w:val="FF0000"/>
                <w:szCs w:val="24"/>
              </w:rPr>
              <w:t>]</w:t>
            </w:r>
          </w:p>
          <w:p w14:paraId="6EFC2E41" w14:textId="2130B3B3" w:rsidR="00970BD6" w:rsidRDefault="00970BD6" w:rsidP="00822294">
            <w:pPr>
              <w:rPr>
                <w:rFonts w:cs="Arial"/>
                <w:i/>
                <w:color w:val="FF0000"/>
                <w:szCs w:val="24"/>
              </w:rPr>
            </w:pPr>
            <w:r w:rsidRPr="00970BD6">
              <w:rPr>
                <w:rFonts w:cs="Arial"/>
                <w:szCs w:val="24"/>
              </w:rPr>
              <w:t>One/two</w:t>
            </w:r>
            <w:r w:rsidRPr="00970BD6">
              <w:rPr>
                <w:rFonts w:cs="Arial"/>
                <w:i/>
                <w:szCs w:val="24"/>
              </w:rPr>
              <w:t xml:space="preserve"> </w:t>
            </w:r>
            <w:r w:rsidR="00D95C75" w:rsidRPr="00D95C75">
              <w:rPr>
                <w:rFonts w:cs="Arial"/>
                <w:szCs w:val="24"/>
              </w:rPr>
              <w:t>years</w:t>
            </w:r>
            <w:r w:rsidR="00A16EAF">
              <w:rPr>
                <w:rFonts w:cs="Arial"/>
                <w:i/>
                <w:color w:val="FF0000"/>
                <w:szCs w:val="24"/>
              </w:rPr>
              <w:t xml:space="preserve"> [</w:t>
            </w:r>
            <w:r>
              <w:rPr>
                <w:rFonts w:cs="Arial"/>
                <w:i/>
                <w:color w:val="FF0000"/>
                <w:szCs w:val="24"/>
              </w:rPr>
              <w:t>Adjust locally</w:t>
            </w:r>
            <w:r w:rsidR="00A16EAF">
              <w:rPr>
                <w:rFonts w:cs="Arial"/>
                <w:i/>
                <w:color w:val="FF0000"/>
                <w:szCs w:val="24"/>
              </w:rPr>
              <w:t>]</w:t>
            </w:r>
          </w:p>
          <w:p w14:paraId="5B87661A" w14:textId="77777777" w:rsidR="00C00C64" w:rsidRDefault="00C00C64" w:rsidP="00822294">
            <w:pPr>
              <w:rPr>
                <w:rFonts w:cs="Arial"/>
                <w:i/>
                <w:color w:val="FF0000"/>
                <w:szCs w:val="24"/>
              </w:rPr>
            </w:pPr>
          </w:p>
          <w:p w14:paraId="7464E243" w14:textId="77777777" w:rsidR="00C00C64" w:rsidRPr="000412A1" w:rsidRDefault="00C00C64" w:rsidP="00822294">
            <w:pPr>
              <w:rPr>
                <w:rFonts w:cs="Arial"/>
                <w:szCs w:val="24"/>
              </w:rPr>
            </w:pPr>
          </w:p>
        </w:tc>
      </w:tr>
      <w:tr w:rsidR="00154269" w:rsidRPr="000412A1" w14:paraId="6F573E5C" w14:textId="77777777" w:rsidTr="00F71B0E">
        <w:tc>
          <w:tcPr>
            <w:tcW w:w="1168" w:type="pct"/>
            <w:shd w:val="clear" w:color="auto" w:fill="D9D9D9" w:themeFill="background1" w:themeFillShade="D9"/>
          </w:tcPr>
          <w:p w14:paraId="580371BA" w14:textId="77777777" w:rsidR="00154269" w:rsidRPr="000412A1" w:rsidRDefault="00970BD6" w:rsidP="00326B23">
            <w:pPr>
              <w:rPr>
                <w:rFonts w:cs="Arial"/>
                <w:szCs w:val="24"/>
                <w:u w:val="single"/>
              </w:rPr>
            </w:pPr>
            <w:r w:rsidRPr="00D95C75">
              <w:rPr>
                <w:rFonts w:cs="Arial"/>
                <w:b/>
                <w:szCs w:val="24"/>
                <w:u w:val="single"/>
              </w:rPr>
              <w:t>B3.</w:t>
            </w:r>
            <w:r w:rsidR="001F421F">
              <w:rPr>
                <w:rFonts w:cs="Arial"/>
                <w:b/>
                <w:szCs w:val="24"/>
                <w:u w:val="single"/>
              </w:rPr>
              <w:t>Indicator</w:t>
            </w:r>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832" w:type="pct"/>
            <w:gridSpan w:val="3"/>
            <w:shd w:val="clear" w:color="auto" w:fill="FFFF00"/>
          </w:tcPr>
          <w:p w14:paraId="172EBE8B" w14:textId="77777777" w:rsidR="00CA40CD" w:rsidRDefault="00CA40CD" w:rsidP="0084461B">
            <w:pPr>
              <w:rPr>
                <w:rFonts w:cs="Arial"/>
                <w:szCs w:val="24"/>
              </w:rPr>
            </w:pPr>
            <w:r>
              <w:rPr>
                <w:rFonts w:cs="Arial"/>
                <w:szCs w:val="24"/>
              </w:rPr>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7750A964" w14:textId="48EB5281" w:rsidR="00154269" w:rsidRPr="000412A1" w:rsidRDefault="00154269" w:rsidP="0084461B">
            <w:pPr>
              <w:keepNext/>
              <w:rPr>
                <w:rFonts w:cs="Arial"/>
                <w:color w:val="000000"/>
                <w:szCs w:val="24"/>
              </w:rPr>
            </w:pPr>
            <w:r w:rsidRPr="000412A1">
              <w:rPr>
                <w:rFonts w:cs="Arial"/>
                <w:color w:val="000000"/>
                <w:szCs w:val="24"/>
              </w:rPr>
              <w:t>Target Value</w:t>
            </w:r>
            <w:r w:rsidRPr="000412A1">
              <w:rPr>
                <w:rFonts w:cs="Arial"/>
                <w:szCs w:val="24"/>
              </w:rPr>
              <w:t>:</w:t>
            </w:r>
            <w:r w:rsidR="00B840A4">
              <w:rPr>
                <w:rFonts w:cs="Arial"/>
                <w:szCs w:val="24"/>
              </w:rPr>
              <w:t xml:space="preserve"> </w:t>
            </w:r>
            <w:r w:rsidR="003759F0" w:rsidRPr="00A16EAF">
              <w:rPr>
                <w:rFonts w:cs="Arial"/>
                <w:i/>
                <w:color w:val="FF0000"/>
                <w:szCs w:val="24"/>
              </w:rPr>
              <w:t>[</w:t>
            </w:r>
            <w:r w:rsidRPr="003759F0">
              <w:rPr>
                <w:rFonts w:cs="Arial"/>
                <w:i/>
                <w:color w:val="FF0000"/>
                <w:szCs w:val="24"/>
              </w:rPr>
              <w:t>Add locally</w:t>
            </w:r>
            <w:r w:rsidR="003759F0" w:rsidRPr="003759F0">
              <w:rPr>
                <w:rFonts w:cs="Arial"/>
                <w:i/>
                <w:color w:val="FF0000"/>
                <w:szCs w:val="24"/>
              </w:rPr>
              <w:t xml:space="preserve"> ££s]</w:t>
            </w:r>
          </w:p>
          <w:p w14:paraId="6C7F6BCB" w14:textId="77777777" w:rsidR="000E33C9" w:rsidRPr="00EE0EE9" w:rsidRDefault="000E33C9" w:rsidP="003759F0">
            <w:pPr>
              <w:keepNext/>
              <w:rPr>
                <w:rFonts w:cs="Arial"/>
                <w:color w:val="FF0000"/>
                <w:szCs w:val="24"/>
              </w:rPr>
            </w:pPr>
          </w:p>
        </w:tc>
      </w:tr>
      <w:tr w:rsidR="00D54163" w:rsidRPr="000412A1" w14:paraId="1D111962" w14:textId="77777777" w:rsidTr="00F71B0E">
        <w:tc>
          <w:tcPr>
            <w:tcW w:w="5000" w:type="pct"/>
            <w:gridSpan w:val="4"/>
            <w:shd w:val="clear" w:color="auto" w:fill="FFFF00"/>
          </w:tcPr>
          <w:p w14:paraId="010033C1" w14:textId="77777777" w:rsidR="00D54163" w:rsidRPr="00D95C75" w:rsidRDefault="00D54163" w:rsidP="0084461B">
            <w:pPr>
              <w:rPr>
                <w:rFonts w:cs="Arial"/>
                <w:b/>
                <w:szCs w:val="24"/>
                <w:u w:val="single"/>
              </w:rPr>
            </w:pPr>
            <w:r w:rsidRPr="00D95C75">
              <w:rPr>
                <w:rFonts w:cs="Arial"/>
                <w:b/>
                <w:szCs w:val="24"/>
                <w:u w:val="single"/>
              </w:rPr>
              <w:t>B4. Payment Triggers.</w:t>
            </w:r>
          </w:p>
          <w:p w14:paraId="7FCE2EFA" w14:textId="77777777"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14:paraId="23ED320C" w14:textId="77777777" w:rsidR="00EC3C9D" w:rsidRDefault="00EC3C9D" w:rsidP="0084461B">
            <w:pPr>
              <w:rPr>
                <w:rFonts w:cs="Arial"/>
                <w:szCs w:val="24"/>
              </w:rPr>
            </w:pPr>
          </w:p>
          <w:p w14:paraId="5DA5B3B9" w14:textId="77777777"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38ECB758" w14:textId="77777777" w:rsidR="00EC3C9D" w:rsidRDefault="00EC3C9D" w:rsidP="0084461B">
            <w:pPr>
              <w:rPr>
                <w:rFonts w:cs="Arial"/>
                <w:szCs w:val="24"/>
              </w:rPr>
            </w:pPr>
          </w:p>
          <w:p w14:paraId="6C427D76" w14:textId="77777777"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811"/>
              <w:gridCol w:w="4014"/>
            </w:tblGrid>
            <w:tr w:rsidR="00D54163" w:rsidRPr="00C0263E" w14:paraId="25DF9289" w14:textId="77777777" w:rsidTr="00EC3C9D">
              <w:tc>
                <w:tcPr>
                  <w:tcW w:w="1593" w:type="dxa"/>
                  <w:tcBorders>
                    <w:top w:val="single" w:sz="4" w:space="0" w:color="auto"/>
                    <w:left w:val="single" w:sz="4" w:space="0" w:color="auto"/>
                    <w:bottom w:val="single" w:sz="4" w:space="0" w:color="auto"/>
                    <w:right w:val="single" w:sz="4" w:space="0" w:color="auto"/>
                  </w:tcBorders>
                  <w:shd w:val="clear" w:color="auto" w:fill="F2F2F2"/>
                </w:tcPr>
                <w:p w14:paraId="4DD4178B" w14:textId="77777777" w:rsidR="00D54163" w:rsidRPr="00C0263E" w:rsidRDefault="00EC3C9D" w:rsidP="0084461B">
                  <w:pPr>
                    <w:spacing w:before="40" w:after="40"/>
                    <w:rPr>
                      <w:rFonts w:cs="Arial"/>
                      <w:b/>
                      <w:szCs w:val="24"/>
                    </w:rPr>
                  </w:pPr>
                  <w:r>
                    <w:rPr>
                      <w:rFonts w:cs="Arial"/>
                      <w:b/>
                      <w:szCs w:val="24"/>
                    </w:rPr>
                    <w:t>Provider specific triggers</w:t>
                  </w:r>
                </w:p>
              </w:tc>
              <w:tc>
                <w:tcPr>
                  <w:tcW w:w="3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81D1D" w14:textId="77777777" w:rsidR="00D54163" w:rsidRPr="00EC3C9D" w:rsidRDefault="00650494" w:rsidP="00F506AC">
                  <w:pPr>
                    <w:spacing w:before="40" w:after="40"/>
                    <w:rPr>
                      <w:rFonts w:cs="Arial"/>
                      <w:b/>
                      <w:szCs w:val="24"/>
                    </w:rPr>
                  </w:pPr>
                  <w:r w:rsidRPr="00EC3C9D">
                    <w:rPr>
                      <w:rFonts w:cs="Arial"/>
                      <w:b/>
                      <w:szCs w:val="24"/>
                    </w:rPr>
                    <w:t>201</w:t>
                  </w:r>
                  <w:r w:rsidR="00F506AC">
                    <w:rPr>
                      <w:rFonts w:cs="Arial"/>
                      <w:b/>
                      <w:szCs w:val="24"/>
                    </w:rPr>
                    <w:t>9</w:t>
                  </w:r>
                  <w:r w:rsidRPr="00EC3C9D">
                    <w:rPr>
                      <w:rFonts w:cs="Arial"/>
                      <w:b/>
                      <w:szCs w:val="24"/>
                    </w:rPr>
                    <w:t>/</w:t>
                  </w:r>
                  <w:r w:rsidR="00F506AC">
                    <w:rPr>
                      <w:rFonts w:cs="Arial"/>
                      <w:b/>
                      <w:szCs w:val="24"/>
                    </w:rPr>
                    <w:t>20</w:t>
                  </w:r>
                </w:p>
              </w:tc>
              <w:tc>
                <w:tcPr>
                  <w:tcW w:w="40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A1D7C5" w14:textId="77777777" w:rsidR="00D54163" w:rsidRPr="00EC3C9D" w:rsidRDefault="00EC3C9D" w:rsidP="00F506AC">
                  <w:pPr>
                    <w:spacing w:before="40" w:after="40"/>
                    <w:rPr>
                      <w:rFonts w:cs="Arial"/>
                      <w:b/>
                      <w:szCs w:val="24"/>
                    </w:rPr>
                  </w:pPr>
                  <w:r w:rsidRPr="00EC3C9D">
                    <w:rPr>
                      <w:rFonts w:cs="Arial"/>
                      <w:b/>
                      <w:szCs w:val="24"/>
                    </w:rPr>
                    <w:t>20</w:t>
                  </w:r>
                  <w:r w:rsidR="00F506AC">
                    <w:rPr>
                      <w:rFonts w:cs="Arial"/>
                      <w:b/>
                      <w:szCs w:val="24"/>
                    </w:rPr>
                    <w:t>20</w:t>
                  </w:r>
                  <w:r w:rsidRPr="00EC3C9D">
                    <w:rPr>
                      <w:rFonts w:cs="Arial"/>
                      <w:b/>
                      <w:szCs w:val="24"/>
                    </w:rPr>
                    <w:t>/</w:t>
                  </w:r>
                  <w:r w:rsidR="00F506AC">
                    <w:rPr>
                      <w:rFonts w:cs="Arial"/>
                      <w:b/>
                      <w:szCs w:val="24"/>
                    </w:rPr>
                    <w:t>21</w:t>
                  </w:r>
                </w:p>
              </w:tc>
            </w:tr>
            <w:tr w:rsidR="00D54163" w:rsidRPr="00C0263E" w14:paraId="3674CF29" w14:textId="77777777" w:rsidTr="00EC3C9D">
              <w:tc>
                <w:tcPr>
                  <w:tcW w:w="1593" w:type="dxa"/>
                  <w:tcBorders>
                    <w:top w:val="single" w:sz="4" w:space="0" w:color="auto"/>
                    <w:left w:val="single" w:sz="4" w:space="0" w:color="auto"/>
                    <w:bottom w:val="single" w:sz="4" w:space="0" w:color="auto"/>
                    <w:right w:val="single" w:sz="4" w:space="0" w:color="auto"/>
                  </w:tcBorders>
                  <w:shd w:val="clear" w:color="auto" w:fill="F2F2F2"/>
                  <w:hideMark/>
                </w:tcPr>
                <w:p w14:paraId="0D054FD0" w14:textId="77777777" w:rsidR="00D54163" w:rsidRDefault="00650494" w:rsidP="0084461B">
                  <w:pPr>
                    <w:spacing w:before="40" w:after="40"/>
                    <w:rPr>
                      <w:rFonts w:cs="Arial"/>
                      <w:b/>
                      <w:szCs w:val="24"/>
                    </w:rPr>
                  </w:pPr>
                  <w:r>
                    <w:rPr>
                      <w:rFonts w:cs="Arial"/>
                      <w:b/>
                      <w:szCs w:val="24"/>
                    </w:rPr>
                    <w:t>Trigger 1:</w:t>
                  </w:r>
                </w:p>
                <w:p w14:paraId="1FD3A153" w14:textId="2B7FF583" w:rsidR="00650494" w:rsidRPr="00C0263E" w:rsidRDefault="00650494" w:rsidP="0084461B">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14E0C0ED" w14:textId="77777777" w:rsidR="00D54163" w:rsidRPr="00C0263E" w:rsidRDefault="00D54163" w:rsidP="0084461B">
                  <w:pPr>
                    <w:spacing w:before="40" w:after="40"/>
                    <w:rPr>
                      <w:rFonts w:cs="Arial"/>
                      <w:szCs w:val="24"/>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0D55FA6D" w14:textId="77777777" w:rsidR="00D54163" w:rsidRPr="00C0263E" w:rsidRDefault="00D54163" w:rsidP="0084461B">
                  <w:pPr>
                    <w:spacing w:before="40" w:after="40"/>
                    <w:rPr>
                      <w:rFonts w:cs="Arial"/>
                      <w:szCs w:val="24"/>
                    </w:rPr>
                  </w:pPr>
                </w:p>
              </w:tc>
            </w:tr>
            <w:tr w:rsidR="00D54163" w:rsidRPr="00C0263E" w14:paraId="77D4C4DA" w14:textId="77777777" w:rsidTr="00EC3C9D">
              <w:trPr>
                <w:trHeight w:val="812"/>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7237848A" w14:textId="77777777" w:rsidR="00D54163" w:rsidRDefault="00EC3C9D" w:rsidP="0084461B">
                  <w:pPr>
                    <w:spacing w:before="40" w:after="40"/>
                    <w:rPr>
                      <w:rFonts w:cs="Arial"/>
                      <w:b/>
                      <w:szCs w:val="24"/>
                    </w:rPr>
                  </w:pPr>
                  <w:r>
                    <w:rPr>
                      <w:rFonts w:cs="Arial"/>
                      <w:b/>
                      <w:szCs w:val="24"/>
                    </w:rPr>
                    <w:t>Trigger 2:</w:t>
                  </w:r>
                </w:p>
                <w:p w14:paraId="1B48D999" w14:textId="77777777" w:rsidR="00D54163" w:rsidRDefault="00D54163" w:rsidP="002A3BC1">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54D0753C" w14:textId="77777777" w:rsidR="00D54163" w:rsidRPr="00C0263E" w:rsidRDefault="00D54163" w:rsidP="0084461B">
                  <w:pPr>
                    <w:spacing w:before="40" w:after="40"/>
                    <w:rPr>
                      <w:rFonts w:cs="Arial"/>
                      <w:szCs w:val="24"/>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5C2E508B" w14:textId="77777777" w:rsidR="00D54163" w:rsidRPr="00C0263E" w:rsidRDefault="00D54163" w:rsidP="0084461B">
                  <w:pPr>
                    <w:spacing w:before="40" w:after="40"/>
                    <w:rPr>
                      <w:rFonts w:cs="Arial"/>
                      <w:szCs w:val="24"/>
                    </w:rPr>
                  </w:pPr>
                </w:p>
              </w:tc>
            </w:tr>
          </w:tbl>
          <w:p w14:paraId="08C5C2BA" w14:textId="77777777" w:rsidR="00D54163" w:rsidRDefault="00D54163" w:rsidP="0084461B">
            <w:pPr>
              <w:rPr>
                <w:rFonts w:cs="Arial"/>
                <w:szCs w:val="24"/>
              </w:rPr>
            </w:pPr>
          </w:p>
          <w:p w14:paraId="25CBFDEA" w14:textId="77777777" w:rsidR="00D54163" w:rsidRDefault="00D54163" w:rsidP="0084461B">
            <w:pPr>
              <w:rPr>
                <w:rFonts w:cs="Arial"/>
                <w:szCs w:val="24"/>
              </w:rPr>
            </w:pPr>
          </w:p>
          <w:p w14:paraId="1DD8B128" w14:textId="77777777" w:rsidR="00D54163" w:rsidRDefault="00D54163" w:rsidP="0084461B">
            <w:pPr>
              <w:rPr>
                <w:rFonts w:cs="Arial"/>
                <w:szCs w:val="24"/>
              </w:rPr>
            </w:pPr>
          </w:p>
        </w:tc>
      </w:tr>
      <w:tr w:rsidR="00D95C75" w:rsidRPr="000412A1" w14:paraId="21C0D8F6" w14:textId="77777777" w:rsidTr="00F71B0E">
        <w:tc>
          <w:tcPr>
            <w:tcW w:w="5000" w:type="pct"/>
            <w:gridSpan w:val="4"/>
            <w:shd w:val="clear" w:color="auto" w:fill="BFBFBF" w:themeFill="background1" w:themeFillShade="BF"/>
          </w:tcPr>
          <w:p w14:paraId="340793E0" w14:textId="77777777" w:rsidR="00D95C75" w:rsidRPr="00C0263E" w:rsidRDefault="00D95C75" w:rsidP="00A536ED">
            <w:pPr>
              <w:rPr>
                <w:rFonts w:cs="Arial"/>
                <w:szCs w:val="24"/>
              </w:rPr>
            </w:pPr>
            <w:r>
              <w:rPr>
                <w:rFonts w:cs="Arial"/>
                <w:b/>
                <w:color w:val="000000"/>
                <w:szCs w:val="24"/>
              </w:rPr>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60366F37" w14:textId="77777777" w:rsidTr="00F71B0E">
        <w:tc>
          <w:tcPr>
            <w:tcW w:w="5000" w:type="pct"/>
            <w:gridSpan w:val="4"/>
            <w:shd w:val="clear" w:color="auto" w:fill="D9D9D9" w:themeFill="background1" w:themeFillShade="D9"/>
          </w:tcPr>
          <w:p w14:paraId="7E500E02" w14:textId="77777777"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71DAE564" w14:textId="77777777" w:rsidTr="00F71B0E">
        <w:tc>
          <w:tcPr>
            <w:tcW w:w="1726" w:type="pct"/>
            <w:gridSpan w:val="3"/>
            <w:shd w:val="clear" w:color="auto" w:fill="D9D9D9" w:themeFill="background1" w:themeFillShade="D9"/>
          </w:tcPr>
          <w:p w14:paraId="23558100" w14:textId="77777777" w:rsidR="00CF3963" w:rsidRDefault="00CF3963" w:rsidP="00CA40CD">
            <w:pPr>
              <w:rPr>
                <w:rFonts w:cs="Arial"/>
                <w:color w:val="000000"/>
                <w:szCs w:val="24"/>
              </w:rPr>
            </w:pPr>
            <w:r w:rsidRPr="000412A1">
              <w:rPr>
                <w:rFonts w:cs="Arial"/>
                <w:color w:val="000000"/>
                <w:szCs w:val="24"/>
              </w:rPr>
              <w:lastRenderedPageBreak/>
              <w:t>Final indicator reporting date</w:t>
            </w:r>
            <w:r>
              <w:rPr>
                <w:rFonts w:cs="Arial"/>
                <w:color w:val="000000"/>
                <w:szCs w:val="24"/>
              </w:rPr>
              <w:t xml:space="preserve"> for each year.</w:t>
            </w:r>
          </w:p>
        </w:tc>
        <w:tc>
          <w:tcPr>
            <w:tcW w:w="3274" w:type="pct"/>
            <w:shd w:val="clear" w:color="auto" w:fill="FFFF00"/>
          </w:tcPr>
          <w:p w14:paraId="2242A5AF" w14:textId="77777777"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14:paraId="7444075D" w14:textId="77777777" w:rsidTr="00F71B0E">
        <w:tc>
          <w:tcPr>
            <w:tcW w:w="5000" w:type="pct"/>
            <w:gridSpan w:val="4"/>
            <w:shd w:val="clear" w:color="auto" w:fill="BFBFBF" w:themeFill="background1" w:themeFillShade="BF"/>
          </w:tcPr>
          <w:p w14:paraId="759F1DB8"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0B1E2B67" w14:textId="77777777" w:rsidTr="00F71B0E">
        <w:tc>
          <w:tcPr>
            <w:tcW w:w="5000" w:type="pct"/>
            <w:gridSpan w:val="4"/>
            <w:shd w:val="clear" w:color="auto" w:fill="FFFF00"/>
          </w:tcPr>
          <w:p w14:paraId="70DB6DCC" w14:textId="77777777" w:rsidR="00CF3963" w:rsidRDefault="00CF3963" w:rsidP="00CF3963">
            <w:r>
              <w:t xml:space="preserve">Default arrangement: half payment of target CQUIN payment each month, reconciliation end of each year depending upon achievement. </w:t>
            </w:r>
          </w:p>
          <w:p w14:paraId="2D10246B" w14:textId="77777777" w:rsidR="00CF3963" w:rsidRDefault="00CF3963" w:rsidP="00CF3963">
            <w:pPr>
              <w:rPr>
                <w:i/>
              </w:rPr>
            </w:pPr>
          </w:p>
          <w:p w14:paraId="5F51F9B5" w14:textId="77777777" w:rsidR="00CF3963" w:rsidRPr="004E377A" w:rsidRDefault="00CF3963" w:rsidP="00CF3963">
            <w:pPr>
              <w:rPr>
                <w:i/>
                <w:color w:val="FF0000"/>
              </w:rPr>
            </w:pPr>
            <w:r w:rsidRPr="004E377A">
              <w:rPr>
                <w:i/>
                <w:color w:val="FF0000"/>
              </w:rPr>
              <w:t>[Specify variation of this approach if required]</w:t>
            </w:r>
          </w:p>
          <w:p w14:paraId="66E5709D" w14:textId="77777777" w:rsidR="006B2327" w:rsidRDefault="006B2327" w:rsidP="0084461B">
            <w:pPr>
              <w:spacing w:before="40" w:after="40"/>
              <w:rPr>
                <w:rFonts w:cs="Arial"/>
                <w:b/>
                <w:color w:val="000000"/>
                <w:szCs w:val="24"/>
              </w:rPr>
            </w:pPr>
          </w:p>
        </w:tc>
      </w:tr>
    </w:tbl>
    <w:p w14:paraId="1F73C545" w14:textId="77777777" w:rsidR="00D46D39" w:rsidRDefault="00D46D39" w:rsidP="00154269">
      <w:pPr>
        <w:rPr>
          <w:rFonts w:cs="Arial"/>
          <w:b/>
          <w:szCs w:val="24"/>
        </w:rPr>
      </w:pPr>
    </w:p>
    <w:tbl>
      <w:tblPr>
        <w:tblStyle w:val="TableGrid"/>
        <w:tblW w:w="5504" w:type="pct"/>
        <w:tblLook w:val="04A0" w:firstRow="1" w:lastRow="0" w:firstColumn="1" w:lastColumn="0" w:noHBand="0" w:noVBand="1"/>
      </w:tblPr>
      <w:tblGrid>
        <w:gridCol w:w="2320"/>
        <w:gridCol w:w="482"/>
        <w:gridCol w:w="3117"/>
        <w:gridCol w:w="4249"/>
        <w:gridCol w:w="6"/>
      </w:tblGrid>
      <w:tr w:rsidR="00CF3963" w:rsidRPr="000412A1" w14:paraId="323E9943" w14:textId="77777777" w:rsidTr="00451775">
        <w:trPr>
          <w:gridAfter w:val="1"/>
          <w:wAfter w:w="3" w:type="pct"/>
        </w:trPr>
        <w:tc>
          <w:tcPr>
            <w:tcW w:w="4997" w:type="pct"/>
            <w:gridSpan w:val="4"/>
            <w:shd w:val="clear" w:color="auto" w:fill="BFBFBF" w:themeFill="background1" w:themeFillShade="BF"/>
          </w:tcPr>
          <w:p w14:paraId="03140634" w14:textId="071AD346" w:rsidR="00CF3963" w:rsidRPr="004B2DC0" w:rsidRDefault="00D46D39" w:rsidP="0084461B">
            <w:pPr>
              <w:spacing w:before="40" w:after="40"/>
              <w:rPr>
                <w:rFonts w:cs="Arial"/>
                <w:b/>
                <w:szCs w:val="24"/>
              </w:rPr>
            </w:pPr>
            <w:r>
              <w:br w:type="page"/>
            </w:r>
            <w:r w:rsidR="00CF3963">
              <w:rPr>
                <w:rFonts w:cs="Arial"/>
                <w:b/>
                <w:szCs w:val="24"/>
              </w:rPr>
              <w:t xml:space="preserve">C. </w:t>
            </w:r>
            <w:r w:rsidR="001F421F">
              <w:rPr>
                <w:rFonts w:cs="Arial"/>
                <w:b/>
                <w:szCs w:val="24"/>
              </w:rPr>
              <w:t>INDICATOR</w:t>
            </w:r>
            <w:r w:rsidR="00CF3963">
              <w:rPr>
                <w:rFonts w:cs="Arial"/>
                <w:b/>
                <w:szCs w:val="24"/>
              </w:rPr>
              <w:t xml:space="preserve"> SPECIFICATION GUIDE</w:t>
            </w:r>
            <w:r w:rsidR="00F506AC">
              <w:rPr>
                <w:rFonts w:cs="Arial"/>
                <w:b/>
                <w:szCs w:val="24"/>
              </w:rPr>
              <w:t>: STEP CHANGE INDICATORS</w:t>
            </w:r>
          </w:p>
        </w:tc>
      </w:tr>
      <w:tr w:rsidR="00CF3963" w:rsidRPr="000412A1" w14:paraId="29BC18DA" w14:textId="77777777" w:rsidTr="00451775">
        <w:trPr>
          <w:gridAfter w:val="1"/>
          <w:wAfter w:w="3" w:type="pct"/>
        </w:trPr>
        <w:tc>
          <w:tcPr>
            <w:tcW w:w="4997" w:type="pct"/>
            <w:gridSpan w:val="4"/>
            <w:shd w:val="clear" w:color="auto" w:fill="BFBFBF" w:themeFill="background1" w:themeFillShade="BF"/>
          </w:tcPr>
          <w:p w14:paraId="268A7BCC"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14:paraId="480685C1" w14:textId="77777777" w:rsidTr="00451775">
        <w:trPr>
          <w:gridAfter w:val="1"/>
          <w:wAfter w:w="3" w:type="pct"/>
        </w:trPr>
        <w:tc>
          <w:tcPr>
            <w:tcW w:w="1140" w:type="pct"/>
            <w:shd w:val="clear" w:color="auto" w:fill="D9D9D9" w:themeFill="background1" w:themeFillShade="D9"/>
          </w:tcPr>
          <w:p w14:paraId="30123192" w14:textId="77777777" w:rsidR="00F506AC" w:rsidRDefault="00F506AC" w:rsidP="0084461B">
            <w:pPr>
              <w:rPr>
                <w:rFonts w:cs="Arial"/>
                <w:b/>
                <w:i/>
                <w:szCs w:val="24"/>
              </w:rPr>
            </w:pPr>
            <w:r w:rsidRPr="00F506AC">
              <w:rPr>
                <w:rFonts w:cs="Arial"/>
                <w:b/>
                <w:szCs w:val="24"/>
              </w:rPr>
              <w:t>Nature of Adoption Ambition</w:t>
            </w:r>
            <w:r>
              <w:rPr>
                <w:rFonts w:cs="Arial"/>
                <w:b/>
                <w:i/>
                <w:szCs w:val="24"/>
              </w:rPr>
              <w:t xml:space="preserve">: </w:t>
            </w:r>
          </w:p>
          <w:p w14:paraId="450487BA" w14:textId="77777777" w:rsidR="00F506AC" w:rsidRDefault="00F506AC" w:rsidP="001F6AA3">
            <w:pPr>
              <w:rPr>
                <w:rFonts w:cs="Arial"/>
                <w:szCs w:val="24"/>
              </w:rPr>
            </w:pPr>
          </w:p>
        </w:tc>
        <w:tc>
          <w:tcPr>
            <w:tcW w:w="3857" w:type="pct"/>
            <w:gridSpan w:val="3"/>
          </w:tcPr>
          <w:p w14:paraId="59D7D4AB" w14:textId="6B86C94A" w:rsidR="00F506AC" w:rsidRPr="00BF12E4" w:rsidRDefault="00BF12E4" w:rsidP="0084461B">
            <w:pPr>
              <w:rPr>
                <w:rFonts w:cs="Arial"/>
                <w:color w:val="FF0000"/>
                <w:szCs w:val="24"/>
              </w:rPr>
            </w:pPr>
            <w:r w:rsidRPr="00BF12E4">
              <w:rPr>
                <w:rFonts w:cs="Arial"/>
                <w:szCs w:val="24"/>
              </w:rPr>
              <w:t>All providers of adult secure services</w:t>
            </w:r>
            <w:r w:rsidR="005F1A5F">
              <w:rPr>
                <w:rFonts w:cs="Arial"/>
                <w:szCs w:val="24"/>
              </w:rPr>
              <w:t xml:space="preserve"> </w:t>
            </w:r>
          </w:p>
        </w:tc>
      </w:tr>
      <w:tr w:rsidR="0064172B" w:rsidRPr="000412A1" w14:paraId="2814CDAB" w14:textId="77777777" w:rsidTr="00451775">
        <w:trPr>
          <w:gridAfter w:val="1"/>
          <w:wAfter w:w="3" w:type="pct"/>
        </w:trPr>
        <w:tc>
          <w:tcPr>
            <w:tcW w:w="1140" w:type="pct"/>
            <w:shd w:val="clear" w:color="auto" w:fill="D9D9D9" w:themeFill="background1" w:themeFillShade="D9"/>
          </w:tcPr>
          <w:p w14:paraId="3D460A97" w14:textId="33DB787D" w:rsidR="0064172B" w:rsidRDefault="0064172B" w:rsidP="0084461B">
            <w:pPr>
              <w:rPr>
                <w:rFonts w:cs="Arial"/>
                <w:szCs w:val="24"/>
              </w:rPr>
            </w:pPr>
            <w:r w:rsidRPr="002C4571">
              <w:rPr>
                <w:rFonts w:cs="Arial"/>
                <w:b/>
                <w:szCs w:val="24"/>
              </w:rPr>
              <w:t xml:space="preserve">List of </w:t>
            </w:r>
            <w:r>
              <w:rPr>
                <w:rFonts w:cs="Arial"/>
                <w:b/>
                <w:szCs w:val="24"/>
              </w:rPr>
              <w:t xml:space="preserve">Providers for whom Indicator is </w:t>
            </w:r>
            <w:r w:rsidRPr="002C4571">
              <w:rPr>
                <w:rFonts w:cs="Arial"/>
                <w:b/>
                <w:szCs w:val="24"/>
              </w:rPr>
              <w:t>Applicable</w:t>
            </w:r>
            <w:r w:rsidR="002F64F6">
              <w:rPr>
                <w:rFonts w:cs="Arial"/>
                <w:b/>
                <w:szCs w:val="24"/>
              </w:rPr>
              <w:t xml:space="preserve"> (NOT EXHAUSTIVE)</w:t>
            </w:r>
          </w:p>
        </w:tc>
        <w:tc>
          <w:tcPr>
            <w:tcW w:w="1769" w:type="pct"/>
            <w:gridSpan w:val="2"/>
            <w:shd w:val="clear" w:color="auto" w:fill="FFFFFF" w:themeFill="background1"/>
          </w:tcPr>
          <w:p w14:paraId="431115A7" w14:textId="3166F015" w:rsidR="0064172B" w:rsidRPr="000F05BC" w:rsidRDefault="002506E6" w:rsidP="0054388D">
            <w:pPr>
              <w:spacing w:line="276" w:lineRule="auto"/>
              <w:rPr>
                <w:rFonts w:eastAsiaTheme="minorHAnsi" w:cs="Arial"/>
                <w:bCs w:val="0"/>
                <w:sz w:val="22"/>
                <w:szCs w:val="22"/>
              </w:rPr>
            </w:pPr>
            <w:r>
              <w:rPr>
                <w:rFonts w:eastAsiaTheme="minorHAnsi" w:cs="Arial"/>
                <w:bCs w:val="0"/>
                <w:sz w:val="22"/>
                <w:szCs w:val="22"/>
              </w:rPr>
              <w:t>2Gether NHS FT</w:t>
            </w:r>
          </w:p>
          <w:p w14:paraId="0178767F" w14:textId="36327F30"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Avon &amp; Wilts Partnership Trust</w:t>
            </w:r>
          </w:p>
          <w:p w14:paraId="05669CEA" w14:textId="626B68D0"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 xml:space="preserve">Barnet, Enfield &amp; Haringey MH </w:t>
            </w:r>
            <w:r w:rsidR="002506E6">
              <w:rPr>
                <w:rFonts w:eastAsiaTheme="minorHAnsi" w:cs="Arial"/>
                <w:bCs w:val="0"/>
                <w:sz w:val="22"/>
                <w:szCs w:val="22"/>
              </w:rPr>
              <w:t>T</w:t>
            </w:r>
          </w:p>
          <w:p w14:paraId="4C9E6804"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Birmingham &amp; Solihull MH FT</w:t>
            </w:r>
          </w:p>
          <w:p w14:paraId="740950D4"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Black Country Partnership FT</w:t>
            </w:r>
          </w:p>
          <w:p w14:paraId="246EBAC5"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Bradford District Care NHS FT</w:t>
            </w:r>
          </w:p>
          <w:p w14:paraId="46FFE4D1" w14:textId="57ED551C" w:rsidR="0064172B" w:rsidRPr="000F05BC" w:rsidRDefault="00065966" w:rsidP="0054388D">
            <w:pPr>
              <w:spacing w:line="276" w:lineRule="auto"/>
              <w:rPr>
                <w:rFonts w:eastAsiaTheme="minorHAnsi" w:cs="Arial"/>
                <w:bCs w:val="0"/>
                <w:sz w:val="22"/>
                <w:szCs w:val="22"/>
              </w:rPr>
            </w:pPr>
            <w:r w:rsidRPr="0045431B">
              <w:rPr>
                <w:rFonts w:eastAsiaTheme="minorHAnsi" w:cs="Arial"/>
                <w:bCs w:val="0"/>
                <w:sz w:val="22"/>
                <w:szCs w:val="22"/>
              </w:rPr>
              <w:t>Bramley Health</w:t>
            </w:r>
            <w:r w:rsidR="0045431B">
              <w:rPr>
                <w:rFonts w:eastAsiaTheme="minorHAnsi" w:cs="Arial"/>
                <w:bCs w:val="0"/>
                <w:sz w:val="22"/>
                <w:szCs w:val="22"/>
              </w:rPr>
              <w:t xml:space="preserve"> </w:t>
            </w:r>
          </w:p>
          <w:p w14:paraId="61FA0A2E"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Cambridgeshire &amp; Peterborough FT</w:t>
            </w:r>
          </w:p>
          <w:p w14:paraId="506561E6"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Central &amp; North West London FT</w:t>
            </w:r>
          </w:p>
          <w:p w14:paraId="5C699091"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Cheshire &amp; Wirral Partnership FT</w:t>
            </w:r>
          </w:p>
          <w:p w14:paraId="58DBE69D"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Cornwall FT</w:t>
            </w:r>
          </w:p>
          <w:p w14:paraId="072AEA02"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Coventry &amp; Warwickshire Partnership Trust</w:t>
            </w:r>
          </w:p>
          <w:p w14:paraId="14600175"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Cygnet Healthcare</w:t>
            </w:r>
          </w:p>
          <w:p w14:paraId="422497DB"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Derbyshire NHS FT</w:t>
            </w:r>
          </w:p>
          <w:p w14:paraId="10E288CC"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Devon Partnership Trust</w:t>
            </w:r>
          </w:p>
          <w:p w14:paraId="5DA6C496"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Dorset Healthcare University FT</w:t>
            </w:r>
          </w:p>
          <w:p w14:paraId="61D09D76"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East London FT</w:t>
            </w:r>
          </w:p>
          <w:p w14:paraId="1B359215"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Elysium Healthcare</w:t>
            </w:r>
          </w:p>
          <w:p w14:paraId="7131FDC7"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Essex Partnership University FT</w:t>
            </w:r>
          </w:p>
          <w:p w14:paraId="25E1A671"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Greater Manchester MH FT</w:t>
            </w:r>
          </w:p>
          <w:p w14:paraId="5CBB0D4C"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Hertfordshire Partnership FT</w:t>
            </w:r>
          </w:p>
          <w:p w14:paraId="0EFA0B0F" w14:textId="76DAB86C"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 xml:space="preserve">Humber </w:t>
            </w:r>
            <w:r w:rsidR="002506E6">
              <w:rPr>
                <w:rFonts w:eastAsiaTheme="minorHAnsi" w:cs="Arial"/>
                <w:bCs w:val="0"/>
                <w:sz w:val="22"/>
                <w:szCs w:val="22"/>
              </w:rPr>
              <w:t xml:space="preserve">NHS </w:t>
            </w:r>
            <w:r w:rsidRPr="000F05BC">
              <w:rPr>
                <w:rFonts w:eastAsiaTheme="minorHAnsi" w:cs="Arial"/>
                <w:bCs w:val="0"/>
                <w:sz w:val="22"/>
                <w:szCs w:val="22"/>
              </w:rPr>
              <w:t>FT</w:t>
            </w:r>
          </w:p>
          <w:p w14:paraId="2986E7E3"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Inmind Ltd</w:t>
            </w:r>
          </w:p>
          <w:p w14:paraId="377AB41A"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Kent &amp; Medway Partnership Trust</w:t>
            </w:r>
          </w:p>
          <w:p w14:paraId="795C0B9B" w14:textId="1EC9F3BE" w:rsidR="0064172B" w:rsidRDefault="00065966" w:rsidP="0054388D">
            <w:pPr>
              <w:spacing w:line="276" w:lineRule="auto"/>
              <w:rPr>
                <w:rFonts w:eastAsiaTheme="minorHAnsi" w:cs="Arial"/>
                <w:bCs w:val="0"/>
                <w:sz w:val="22"/>
                <w:szCs w:val="22"/>
              </w:rPr>
            </w:pPr>
            <w:r w:rsidRPr="000F05BC">
              <w:rPr>
                <w:rFonts w:eastAsiaTheme="minorHAnsi" w:cs="Arial"/>
                <w:bCs w:val="0"/>
                <w:sz w:val="22"/>
                <w:szCs w:val="22"/>
              </w:rPr>
              <w:t>Lancashire Care F</w:t>
            </w:r>
            <w:r w:rsidR="00FC18AA" w:rsidRPr="000F05BC">
              <w:rPr>
                <w:rFonts w:eastAsiaTheme="minorHAnsi" w:cs="Arial"/>
                <w:bCs w:val="0"/>
                <w:sz w:val="22"/>
                <w:szCs w:val="22"/>
              </w:rPr>
              <w:t>T</w:t>
            </w:r>
          </w:p>
          <w:p w14:paraId="449885A2" w14:textId="11C17B01" w:rsidR="009B4E6A" w:rsidRPr="000F05BC" w:rsidRDefault="009B4E6A" w:rsidP="0054388D">
            <w:pPr>
              <w:spacing w:line="276" w:lineRule="auto"/>
              <w:rPr>
                <w:rFonts w:eastAsiaTheme="minorHAnsi" w:cs="Arial"/>
                <w:bCs w:val="0"/>
                <w:sz w:val="22"/>
                <w:szCs w:val="22"/>
              </w:rPr>
            </w:pPr>
            <w:r w:rsidRPr="009B4E6A">
              <w:rPr>
                <w:rFonts w:eastAsiaTheme="minorHAnsi" w:cs="Arial"/>
                <w:bCs w:val="0"/>
                <w:sz w:val="22"/>
                <w:szCs w:val="22"/>
              </w:rPr>
              <w:t xml:space="preserve">Leeds &amp; York Partnership FT </w:t>
            </w:r>
          </w:p>
          <w:p w14:paraId="5B36220F" w14:textId="655614A0"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 xml:space="preserve">Leicestershire </w:t>
            </w:r>
            <w:r w:rsidR="002506E6">
              <w:rPr>
                <w:rFonts w:eastAsiaTheme="minorHAnsi" w:cs="Arial"/>
                <w:bCs w:val="0"/>
                <w:sz w:val="22"/>
                <w:szCs w:val="22"/>
              </w:rPr>
              <w:t xml:space="preserve">Partnership </w:t>
            </w:r>
            <w:r w:rsidR="001266FA">
              <w:rPr>
                <w:rFonts w:eastAsiaTheme="minorHAnsi" w:cs="Arial"/>
                <w:bCs w:val="0"/>
                <w:sz w:val="22"/>
                <w:szCs w:val="22"/>
              </w:rPr>
              <w:t>T</w:t>
            </w:r>
          </w:p>
          <w:p w14:paraId="46C570E4" w14:textId="575DC9E6"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Lincolnshire F</w:t>
            </w:r>
            <w:r w:rsidR="00FC18AA" w:rsidRPr="000F05BC">
              <w:rPr>
                <w:rFonts w:eastAsiaTheme="minorHAnsi" w:cs="Arial"/>
                <w:bCs w:val="0"/>
                <w:sz w:val="22"/>
                <w:szCs w:val="22"/>
              </w:rPr>
              <w:t>T</w:t>
            </w:r>
          </w:p>
          <w:p w14:paraId="6F6D15D2" w14:textId="77777777" w:rsidR="0054275F" w:rsidRDefault="00065966" w:rsidP="0054275F">
            <w:pPr>
              <w:spacing w:line="276" w:lineRule="auto"/>
              <w:rPr>
                <w:rFonts w:eastAsiaTheme="minorHAnsi" w:cs="Arial"/>
                <w:bCs w:val="0"/>
                <w:sz w:val="22"/>
                <w:szCs w:val="22"/>
              </w:rPr>
            </w:pPr>
            <w:r w:rsidRPr="00CC6C8D">
              <w:rPr>
                <w:rFonts w:eastAsiaTheme="minorHAnsi" w:cs="Arial"/>
                <w:bCs w:val="0"/>
                <w:sz w:val="22"/>
                <w:szCs w:val="22"/>
              </w:rPr>
              <w:t>Livewell Southwest</w:t>
            </w:r>
            <w:r w:rsidR="0054275F">
              <w:rPr>
                <w:rFonts w:eastAsiaTheme="minorHAnsi" w:cs="Arial"/>
                <w:bCs w:val="0"/>
                <w:sz w:val="22"/>
                <w:szCs w:val="22"/>
              </w:rPr>
              <w:t xml:space="preserve"> </w:t>
            </w:r>
          </w:p>
          <w:p w14:paraId="0DBA9D08" w14:textId="625B9B99" w:rsidR="0054275F" w:rsidRDefault="0054275F" w:rsidP="0054275F">
            <w:pPr>
              <w:spacing w:line="276" w:lineRule="auto"/>
              <w:rPr>
                <w:rFonts w:eastAsiaTheme="minorHAnsi" w:cs="Arial"/>
                <w:bCs w:val="0"/>
                <w:sz w:val="22"/>
                <w:szCs w:val="22"/>
              </w:rPr>
            </w:pPr>
            <w:r>
              <w:rPr>
                <w:rFonts w:eastAsiaTheme="minorHAnsi" w:cs="Arial"/>
                <w:bCs w:val="0"/>
                <w:sz w:val="22"/>
                <w:szCs w:val="22"/>
              </w:rPr>
              <w:lastRenderedPageBreak/>
              <w:t>Ludlow Street Healthcare</w:t>
            </w:r>
          </w:p>
          <w:p w14:paraId="4B26F633" w14:textId="77777777" w:rsidR="0054275F" w:rsidRPr="000F05BC" w:rsidRDefault="0054275F" w:rsidP="0054275F">
            <w:pPr>
              <w:spacing w:line="276" w:lineRule="auto"/>
              <w:rPr>
                <w:rFonts w:eastAsiaTheme="minorHAnsi" w:cs="Arial"/>
                <w:bCs w:val="0"/>
                <w:sz w:val="22"/>
                <w:szCs w:val="22"/>
              </w:rPr>
            </w:pPr>
            <w:r w:rsidRPr="000F05BC">
              <w:rPr>
                <w:rFonts w:eastAsiaTheme="minorHAnsi" w:cs="Arial"/>
                <w:bCs w:val="0"/>
                <w:sz w:val="22"/>
                <w:szCs w:val="22"/>
              </w:rPr>
              <w:t>Mersey Care NHS Trust</w:t>
            </w:r>
          </w:p>
          <w:p w14:paraId="1F88B3B2" w14:textId="77777777" w:rsidR="0064172B" w:rsidRPr="000F05BC" w:rsidRDefault="0064172B" w:rsidP="0054388D">
            <w:pPr>
              <w:spacing w:line="276" w:lineRule="auto"/>
              <w:rPr>
                <w:rFonts w:eastAsiaTheme="minorHAnsi" w:cs="Arial"/>
                <w:bCs w:val="0"/>
                <w:sz w:val="22"/>
                <w:szCs w:val="22"/>
              </w:rPr>
            </w:pPr>
          </w:p>
        </w:tc>
        <w:tc>
          <w:tcPr>
            <w:tcW w:w="2088" w:type="pct"/>
            <w:shd w:val="clear" w:color="auto" w:fill="FFFFFF" w:themeFill="background1"/>
          </w:tcPr>
          <w:p w14:paraId="64228A55" w14:textId="77777777" w:rsidR="002506E6" w:rsidRDefault="002506E6" w:rsidP="0054388D">
            <w:pPr>
              <w:spacing w:line="276" w:lineRule="auto"/>
              <w:rPr>
                <w:rFonts w:eastAsiaTheme="minorHAnsi" w:cs="Arial"/>
                <w:bCs w:val="0"/>
                <w:sz w:val="22"/>
                <w:szCs w:val="22"/>
              </w:rPr>
            </w:pPr>
            <w:r w:rsidRPr="001266FA">
              <w:rPr>
                <w:rFonts w:eastAsiaTheme="minorHAnsi" w:cs="Arial"/>
                <w:bCs w:val="0"/>
                <w:sz w:val="22"/>
                <w:szCs w:val="22"/>
              </w:rPr>
              <w:lastRenderedPageBreak/>
              <w:t>Midlands Partnership NHS FT</w:t>
            </w:r>
          </w:p>
          <w:p w14:paraId="7399A1D3" w14:textId="30C8320F" w:rsidR="00CC6C8D" w:rsidRDefault="00CC6C8D" w:rsidP="0054388D">
            <w:pPr>
              <w:spacing w:line="276" w:lineRule="auto"/>
              <w:rPr>
                <w:rFonts w:eastAsiaTheme="minorHAnsi" w:cs="Arial"/>
                <w:bCs w:val="0"/>
                <w:sz w:val="22"/>
                <w:szCs w:val="22"/>
              </w:rPr>
            </w:pPr>
            <w:r>
              <w:rPr>
                <w:rFonts w:eastAsiaTheme="minorHAnsi" w:cs="Arial"/>
                <w:bCs w:val="0"/>
                <w:sz w:val="22"/>
                <w:szCs w:val="22"/>
              </w:rPr>
              <w:t>Newbridge Care Systems</w:t>
            </w:r>
          </w:p>
          <w:p w14:paraId="0E8E458F" w14:textId="49419262"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Norfolk &amp; Suffolk NHS FT</w:t>
            </w:r>
          </w:p>
          <w:p w14:paraId="030F484F"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North East London NHS FT</w:t>
            </w:r>
          </w:p>
          <w:p w14:paraId="7C55AB81" w14:textId="77777777" w:rsidR="0064172B" w:rsidRPr="000F05BC" w:rsidRDefault="00065966" w:rsidP="0054388D">
            <w:pPr>
              <w:spacing w:line="276" w:lineRule="auto"/>
              <w:rPr>
                <w:rFonts w:eastAsiaTheme="minorHAnsi" w:cs="Arial"/>
                <w:bCs w:val="0"/>
                <w:sz w:val="22"/>
                <w:szCs w:val="22"/>
              </w:rPr>
            </w:pPr>
            <w:r w:rsidRPr="0045431B">
              <w:rPr>
                <w:rFonts w:eastAsiaTheme="minorHAnsi" w:cs="Arial"/>
                <w:bCs w:val="0"/>
                <w:sz w:val="22"/>
                <w:szCs w:val="22"/>
              </w:rPr>
              <w:t>North West Boroughs NHS FT</w:t>
            </w:r>
          </w:p>
          <w:p w14:paraId="7DA16587"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Northamptonshire NHS FT</w:t>
            </w:r>
          </w:p>
          <w:p w14:paraId="33C0F1F1"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Northumberland Tyne &amp; Wear FT</w:t>
            </w:r>
          </w:p>
          <w:p w14:paraId="0C0E74CF"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Nottinghamshire Healthcare FT</w:t>
            </w:r>
          </w:p>
          <w:p w14:paraId="21A3DCE7"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Oxford Health FT</w:t>
            </w:r>
          </w:p>
          <w:p w14:paraId="265E4A22"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Oxleas NHS FT</w:t>
            </w:r>
          </w:p>
          <w:p w14:paraId="0E1C8FC3" w14:textId="36594800" w:rsidR="009B4E6A" w:rsidRDefault="009B4E6A" w:rsidP="0054388D">
            <w:pPr>
              <w:spacing w:line="276" w:lineRule="auto"/>
              <w:rPr>
                <w:rFonts w:eastAsiaTheme="minorHAnsi" w:cs="Arial"/>
                <w:bCs w:val="0"/>
                <w:sz w:val="22"/>
                <w:szCs w:val="22"/>
              </w:rPr>
            </w:pPr>
            <w:r>
              <w:rPr>
                <w:rFonts w:eastAsiaTheme="minorHAnsi" w:cs="Arial"/>
                <w:bCs w:val="0"/>
                <w:sz w:val="22"/>
                <w:szCs w:val="22"/>
              </w:rPr>
              <w:t xml:space="preserve">Partnerships in Care Ltd </w:t>
            </w:r>
          </w:p>
          <w:p w14:paraId="0A4EC762" w14:textId="63EB2636" w:rsidR="0064172B" w:rsidRPr="000F05BC" w:rsidRDefault="00A012B5" w:rsidP="0054388D">
            <w:pPr>
              <w:spacing w:line="276" w:lineRule="auto"/>
              <w:rPr>
                <w:rFonts w:eastAsiaTheme="minorHAnsi" w:cs="Arial"/>
                <w:bCs w:val="0"/>
                <w:sz w:val="22"/>
                <w:szCs w:val="22"/>
              </w:rPr>
            </w:pPr>
            <w:r>
              <w:rPr>
                <w:rFonts w:eastAsiaTheme="minorHAnsi" w:cs="Arial"/>
                <w:bCs w:val="0"/>
                <w:sz w:val="22"/>
                <w:szCs w:val="22"/>
              </w:rPr>
              <w:t>Priory</w:t>
            </w:r>
            <w:r w:rsidR="001266FA">
              <w:rPr>
                <w:rFonts w:eastAsiaTheme="minorHAnsi" w:cs="Arial"/>
                <w:bCs w:val="0"/>
                <w:sz w:val="22"/>
                <w:szCs w:val="22"/>
              </w:rPr>
              <w:t xml:space="preserve"> Group Ltd</w:t>
            </w:r>
          </w:p>
          <w:p w14:paraId="0B43A397"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Pennine Care F</w:t>
            </w:r>
            <w:r w:rsidR="00C82522" w:rsidRPr="000F05BC">
              <w:rPr>
                <w:rFonts w:eastAsiaTheme="minorHAnsi" w:cs="Arial"/>
                <w:bCs w:val="0"/>
                <w:sz w:val="22"/>
                <w:szCs w:val="22"/>
              </w:rPr>
              <w:t>T</w:t>
            </w:r>
          </w:p>
          <w:p w14:paraId="3CE7990B"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Riverside Healthcare Ltd</w:t>
            </w:r>
          </w:p>
          <w:p w14:paraId="1BE715E3"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Rotherham &amp; Doncaster Healthcare F</w:t>
            </w:r>
            <w:r w:rsidR="00C82522" w:rsidRPr="000F05BC">
              <w:rPr>
                <w:rFonts w:eastAsiaTheme="minorHAnsi" w:cs="Arial"/>
                <w:bCs w:val="0"/>
                <w:sz w:val="22"/>
                <w:szCs w:val="22"/>
              </w:rPr>
              <w:t>T</w:t>
            </w:r>
          </w:p>
          <w:p w14:paraId="5A23F27D" w14:textId="77777777" w:rsidR="00DC1DCB" w:rsidRPr="000F05BC" w:rsidRDefault="00DC1DCB" w:rsidP="00DC1DCB">
            <w:pPr>
              <w:spacing w:line="276" w:lineRule="auto"/>
              <w:rPr>
                <w:rFonts w:eastAsiaTheme="minorHAnsi" w:cs="Arial"/>
                <w:bCs w:val="0"/>
                <w:sz w:val="22"/>
                <w:szCs w:val="22"/>
              </w:rPr>
            </w:pPr>
            <w:r w:rsidRPr="000F05BC">
              <w:rPr>
                <w:rFonts w:eastAsiaTheme="minorHAnsi" w:cs="Arial"/>
                <w:bCs w:val="0"/>
                <w:sz w:val="22"/>
                <w:szCs w:val="22"/>
              </w:rPr>
              <w:t>St Andrews Healthcare</w:t>
            </w:r>
          </w:p>
          <w:p w14:paraId="301A9188" w14:textId="45C69BA9" w:rsidR="00DC1DCB" w:rsidRDefault="00DC1DCB" w:rsidP="00DC1DCB">
            <w:pPr>
              <w:spacing w:line="276" w:lineRule="auto"/>
              <w:rPr>
                <w:rFonts w:eastAsiaTheme="minorHAnsi" w:cs="Arial"/>
                <w:bCs w:val="0"/>
                <w:sz w:val="22"/>
                <w:szCs w:val="22"/>
              </w:rPr>
            </w:pPr>
            <w:r w:rsidRPr="000F05BC">
              <w:rPr>
                <w:rFonts w:eastAsiaTheme="minorHAnsi" w:cs="Arial"/>
                <w:bCs w:val="0"/>
                <w:sz w:val="22"/>
                <w:szCs w:val="22"/>
              </w:rPr>
              <w:t xml:space="preserve">St </w:t>
            </w:r>
            <w:r>
              <w:rPr>
                <w:rFonts w:eastAsiaTheme="minorHAnsi" w:cs="Arial"/>
                <w:bCs w:val="0"/>
                <w:sz w:val="22"/>
                <w:szCs w:val="22"/>
              </w:rPr>
              <w:t>George</w:t>
            </w:r>
            <w:r w:rsidRPr="000F05BC">
              <w:rPr>
                <w:rFonts w:eastAsiaTheme="minorHAnsi" w:cs="Arial"/>
                <w:bCs w:val="0"/>
                <w:sz w:val="22"/>
                <w:szCs w:val="22"/>
              </w:rPr>
              <w:t xml:space="preserve"> Healthcare Group </w:t>
            </w:r>
          </w:p>
          <w:p w14:paraId="064DEC5F" w14:textId="264B9D8D" w:rsidR="00DC1DCB" w:rsidRDefault="001266FA" w:rsidP="00CC6C8D">
            <w:pPr>
              <w:spacing w:line="276" w:lineRule="auto"/>
              <w:rPr>
                <w:rFonts w:eastAsiaTheme="minorHAnsi" w:cs="Arial"/>
                <w:bCs w:val="0"/>
                <w:sz w:val="22"/>
                <w:szCs w:val="22"/>
              </w:rPr>
            </w:pPr>
            <w:r w:rsidRPr="000F05BC">
              <w:rPr>
                <w:rFonts w:eastAsiaTheme="minorHAnsi" w:cs="Arial"/>
                <w:bCs w:val="0"/>
                <w:sz w:val="22"/>
                <w:szCs w:val="22"/>
              </w:rPr>
              <w:t xml:space="preserve">St. Magnus </w:t>
            </w:r>
          </w:p>
          <w:p w14:paraId="0B3F659B"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Sheffield Health &amp; Social Care F</w:t>
            </w:r>
            <w:r w:rsidR="00C82522" w:rsidRPr="000F05BC">
              <w:rPr>
                <w:rFonts w:eastAsiaTheme="minorHAnsi" w:cs="Arial"/>
                <w:bCs w:val="0"/>
                <w:sz w:val="22"/>
                <w:szCs w:val="22"/>
              </w:rPr>
              <w:t>T</w:t>
            </w:r>
          </w:p>
          <w:p w14:paraId="1A29B15F"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Somerset Partnership F</w:t>
            </w:r>
            <w:r w:rsidR="00C82522" w:rsidRPr="000F05BC">
              <w:rPr>
                <w:rFonts w:eastAsiaTheme="minorHAnsi" w:cs="Arial"/>
                <w:bCs w:val="0"/>
                <w:sz w:val="22"/>
                <w:szCs w:val="22"/>
              </w:rPr>
              <w:t>T</w:t>
            </w:r>
          </w:p>
          <w:p w14:paraId="68B6B6EA" w14:textId="2E732EAE" w:rsidR="002506E6" w:rsidRDefault="002506E6" w:rsidP="0054388D">
            <w:pPr>
              <w:spacing w:line="276" w:lineRule="auto"/>
              <w:rPr>
                <w:rFonts w:eastAsiaTheme="minorHAnsi" w:cs="Arial"/>
                <w:bCs w:val="0"/>
                <w:sz w:val="22"/>
                <w:szCs w:val="22"/>
              </w:rPr>
            </w:pPr>
            <w:r>
              <w:rPr>
                <w:rFonts w:eastAsiaTheme="minorHAnsi" w:cs="Arial"/>
                <w:bCs w:val="0"/>
                <w:sz w:val="22"/>
                <w:szCs w:val="22"/>
              </w:rPr>
              <w:t>Southern Health NHS FT</w:t>
            </w:r>
          </w:p>
          <w:p w14:paraId="4C86369E" w14:textId="276BAC1E"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South London &amp; Maudsley F</w:t>
            </w:r>
            <w:r w:rsidR="00C82522" w:rsidRPr="000F05BC">
              <w:rPr>
                <w:rFonts w:eastAsiaTheme="minorHAnsi" w:cs="Arial"/>
                <w:bCs w:val="0"/>
                <w:sz w:val="22"/>
                <w:szCs w:val="22"/>
              </w:rPr>
              <w:t>T</w:t>
            </w:r>
          </w:p>
          <w:p w14:paraId="5AA30FD0" w14:textId="25298815"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South West London &amp; St George's M</w:t>
            </w:r>
            <w:r w:rsidR="00C82522" w:rsidRPr="000F05BC">
              <w:rPr>
                <w:rFonts w:eastAsiaTheme="minorHAnsi" w:cs="Arial"/>
                <w:bCs w:val="0"/>
                <w:sz w:val="22"/>
                <w:szCs w:val="22"/>
              </w:rPr>
              <w:t>H</w:t>
            </w:r>
            <w:r w:rsidRPr="000F05BC">
              <w:rPr>
                <w:rFonts w:eastAsiaTheme="minorHAnsi" w:cs="Arial"/>
                <w:bCs w:val="0"/>
                <w:sz w:val="22"/>
                <w:szCs w:val="22"/>
              </w:rPr>
              <w:t xml:space="preserve"> Trust</w:t>
            </w:r>
          </w:p>
          <w:p w14:paraId="3CA2734F" w14:textId="778ACF5E" w:rsidR="0064172B" w:rsidRPr="000F05BC" w:rsidRDefault="00065966" w:rsidP="009B4E6A">
            <w:pPr>
              <w:spacing w:line="276" w:lineRule="auto"/>
              <w:rPr>
                <w:rFonts w:eastAsiaTheme="minorHAnsi" w:cs="Arial"/>
                <w:bCs w:val="0"/>
                <w:sz w:val="22"/>
                <w:szCs w:val="22"/>
              </w:rPr>
            </w:pPr>
            <w:r w:rsidRPr="000F05BC">
              <w:rPr>
                <w:rFonts w:eastAsiaTheme="minorHAnsi" w:cs="Arial"/>
                <w:bCs w:val="0"/>
                <w:sz w:val="22"/>
                <w:szCs w:val="22"/>
              </w:rPr>
              <w:t>South West Yorkshire Partnership F</w:t>
            </w:r>
            <w:r w:rsidR="00C82522" w:rsidRPr="000F05BC">
              <w:rPr>
                <w:rFonts w:eastAsiaTheme="minorHAnsi" w:cs="Arial"/>
                <w:bCs w:val="0"/>
                <w:sz w:val="22"/>
                <w:szCs w:val="22"/>
              </w:rPr>
              <w:t>T</w:t>
            </w:r>
          </w:p>
          <w:p w14:paraId="3F2E61E2" w14:textId="0F11B3DF"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Southern Health F</w:t>
            </w:r>
            <w:r w:rsidR="00C82522" w:rsidRPr="000F05BC">
              <w:rPr>
                <w:rFonts w:eastAsiaTheme="minorHAnsi" w:cs="Arial"/>
                <w:bCs w:val="0"/>
                <w:sz w:val="22"/>
                <w:szCs w:val="22"/>
              </w:rPr>
              <w:t>T</w:t>
            </w:r>
          </w:p>
          <w:p w14:paraId="2510D6B3"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Sussex Partnership F</w:t>
            </w:r>
            <w:r w:rsidR="00C82522" w:rsidRPr="000F05BC">
              <w:rPr>
                <w:rFonts w:eastAsiaTheme="minorHAnsi" w:cs="Arial"/>
                <w:bCs w:val="0"/>
                <w:sz w:val="22"/>
                <w:szCs w:val="22"/>
              </w:rPr>
              <w:t>T</w:t>
            </w:r>
          </w:p>
          <w:p w14:paraId="12094ABA" w14:textId="1F777FFD"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Tees Esk &amp; Wear Valley F</w:t>
            </w:r>
            <w:r w:rsidR="00FC18AA" w:rsidRPr="000F05BC">
              <w:rPr>
                <w:rFonts w:eastAsiaTheme="minorHAnsi" w:cs="Arial"/>
                <w:bCs w:val="0"/>
                <w:sz w:val="22"/>
                <w:szCs w:val="22"/>
              </w:rPr>
              <w:t>T</w:t>
            </w:r>
          </w:p>
          <w:p w14:paraId="09846FCE" w14:textId="77777777"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The Huntercombe Group</w:t>
            </w:r>
          </w:p>
          <w:p w14:paraId="58D49E20" w14:textId="37C39824" w:rsidR="00CC6C8D" w:rsidRDefault="00CC6C8D" w:rsidP="0054388D">
            <w:pPr>
              <w:spacing w:line="276" w:lineRule="auto"/>
              <w:rPr>
                <w:rFonts w:eastAsiaTheme="minorHAnsi" w:cs="Arial"/>
                <w:bCs w:val="0"/>
                <w:sz w:val="22"/>
                <w:szCs w:val="22"/>
              </w:rPr>
            </w:pPr>
            <w:r>
              <w:rPr>
                <w:rFonts w:eastAsiaTheme="minorHAnsi" w:cs="Arial"/>
                <w:bCs w:val="0"/>
                <w:sz w:val="22"/>
                <w:szCs w:val="22"/>
              </w:rPr>
              <w:t>The Retreat Hospital</w:t>
            </w:r>
          </w:p>
          <w:p w14:paraId="38C1E816" w14:textId="12581970" w:rsidR="0064172B" w:rsidRPr="000F05BC" w:rsidRDefault="00065966" w:rsidP="0054388D">
            <w:pPr>
              <w:spacing w:line="276" w:lineRule="auto"/>
              <w:rPr>
                <w:rFonts w:eastAsiaTheme="minorHAnsi" w:cs="Arial"/>
                <w:bCs w:val="0"/>
                <w:sz w:val="22"/>
                <w:szCs w:val="22"/>
              </w:rPr>
            </w:pPr>
            <w:r w:rsidRPr="000F05BC">
              <w:rPr>
                <w:rFonts w:eastAsiaTheme="minorHAnsi" w:cs="Arial"/>
                <w:bCs w:val="0"/>
                <w:sz w:val="22"/>
                <w:szCs w:val="22"/>
              </w:rPr>
              <w:t>West London M</w:t>
            </w:r>
            <w:r w:rsidR="00C82522" w:rsidRPr="000F05BC">
              <w:rPr>
                <w:rFonts w:eastAsiaTheme="minorHAnsi" w:cs="Arial"/>
                <w:bCs w:val="0"/>
                <w:sz w:val="22"/>
                <w:szCs w:val="22"/>
              </w:rPr>
              <w:t>H</w:t>
            </w:r>
            <w:r w:rsidRPr="000F05BC">
              <w:rPr>
                <w:rFonts w:eastAsiaTheme="minorHAnsi" w:cs="Arial"/>
                <w:bCs w:val="0"/>
                <w:sz w:val="22"/>
                <w:szCs w:val="22"/>
              </w:rPr>
              <w:t xml:space="preserve"> Trust</w:t>
            </w:r>
          </w:p>
          <w:p w14:paraId="233AF6A5" w14:textId="77777777" w:rsidR="0064172B" w:rsidRPr="000F05BC" w:rsidRDefault="0064172B" w:rsidP="001266FA">
            <w:pPr>
              <w:spacing w:line="276" w:lineRule="auto"/>
              <w:rPr>
                <w:rFonts w:cs="Arial"/>
                <w:sz w:val="22"/>
                <w:szCs w:val="22"/>
              </w:rPr>
            </w:pPr>
          </w:p>
        </w:tc>
      </w:tr>
      <w:tr w:rsidR="00CF3963" w:rsidRPr="000412A1" w14:paraId="2C142F35" w14:textId="77777777" w:rsidTr="00451775">
        <w:trPr>
          <w:gridAfter w:val="1"/>
          <w:wAfter w:w="3" w:type="pct"/>
        </w:trPr>
        <w:tc>
          <w:tcPr>
            <w:tcW w:w="4997" w:type="pct"/>
            <w:gridSpan w:val="4"/>
            <w:shd w:val="clear" w:color="auto" w:fill="BFBFBF" w:themeFill="background1" w:themeFillShade="BF"/>
          </w:tcPr>
          <w:p w14:paraId="73DE23E6" w14:textId="1CC03759" w:rsidR="00CF3963" w:rsidRPr="004B2DC0" w:rsidRDefault="0064172B" w:rsidP="00C25612">
            <w:pPr>
              <w:spacing w:before="40" w:after="40"/>
              <w:rPr>
                <w:rFonts w:cs="Arial"/>
                <w:b/>
                <w:color w:val="000000"/>
                <w:szCs w:val="24"/>
              </w:rPr>
            </w:pPr>
            <w:r>
              <w:lastRenderedPageBreak/>
              <w:br w:type="page"/>
            </w:r>
            <w:r w:rsidR="00CF3963">
              <w:rPr>
                <w:rFonts w:cs="Arial"/>
                <w:b/>
                <w:szCs w:val="24"/>
              </w:rPr>
              <w:t xml:space="preserve">C2. </w:t>
            </w:r>
            <w:r w:rsidR="00C25612">
              <w:rPr>
                <w:rFonts w:cs="Arial"/>
                <w:b/>
                <w:szCs w:val="24"/>
              </w:rPr>
              <w:t>Provider Specific Parameters</w:t>
            </w:r>
          </w:p>
        </w:tc>
      </w:tr>
      <w:tr w:rsidR="00451775" w:rsidRPr="000412A1" w14:paraId="13EDBA4B" w14:textId="77777777" w:rsidTr="00451775">
        <w:trPr>
          <w:gridAfter w:val="1"/>
          <w:wAfter w:w="3" w:type="pct"/>
          <w:trHeight w:val="1487"/>
        </w:trPr>
        <w:tc>
          <w:tcPr>
            <w:tcW w:w="4997" w:type="pct"/>
            <w:gridSpan w:val="4"/>
            <w:shd w:val="clear" w:color="auto" w:fill="auto"/>
          </w:tcPr>
          <w:p w14:paraId="41057CC2" w14:textId="77777777" w:rsidR="00451775" w:rsidRPr="001F6AA3" w:rsidRDefault="00451775" w:rsidP="00C25612">
            <w:pPr>
              <w:rPr>
                <w:rFonts w:cs="Arial"/>
                <w:b/>
                <w:i/>
                <w:szCs w:val="24"/>
              </w:rPr>
            </w:pPr>
            <w:r w:rsidRPr="001F6AA3">
              <w:rPr>
                <w:rFonts w:cs="Arial"/>
                <w:b/>
                <w:szCs w:val="24"/>
              </w:rPr>
              <w:t>The indicator requires the following parameters to be set for each provider in advance of contract, to determine precisely what is required of each provider, and/or to determine appropriate target payment (as per C3.)</w:t>
            </w:r>
            <w:r w:rsidRPr="001F6AA3">
              <w:rPr>
                <w:rFonts w:cs="Arial"/>
                <w:b/>
                <w:szCs w:val="24"/>
              </w:rPr>
              <w:br/>
            </w:r>
          </w:p>
          <w:p w14:paraId="78D35BD9" w14:textId="1CF40179" w:rsidR="00451775" w:rsidRPr="00FC18AA" w:rsidRDefault="00451775" w:rsidP="00FC18AA">
            <w:pPr>
              <w:pStyle w:val="ListParagraph"/>
              <w:ind w:left="0"/>
              <w:rPr>
                <w:rFonts w:cs="Arial"/>
                <w:b/>
                <w:sz w:val="22"/>
                <w:szCs w:val="22"/>
              </w:rPr>
            </w:pPr>
            <w:r>
              <w:rPr>
                <w:rFonts w:cs="Arial"/>
                <w:b/>
                <w:sz w:val="22"/>
                <w:szCs w:val="22"/>
              </w:rPr>
              <w:t>N/A</w:t>
            </w:r>
          </w:p>
          <w:p w14:paraId="49E5E778" w14:textId="0CDCA341" w:rsidR="00451775" w:rsidRPr="000828E5" w:rsidRDefault="00451775" w:rsidP="00281C31">
            <w:pPr>
              <w:pStyle w:val="ListParagraph"/>
              <w:ind w:left="360"/>
              <w:rPr>
                <w:rFonts w:cs="Arial"/>
                <w:b/>
                <w:sz w:val="22"/>
                <w:szCs w:val="22"/>
                <w:u w:val="single"/>
              </w:rPr>
            </w:pPr>
          </w:p>
        </w:tc>
      </w:tr>
      <w:tr w:rsidR="00CF3963" w:rsidRPr="000412A1" w14:paraId="6DD5ABFD" w14:textId="77777777" w:rsidTr="00451775">
        <w:trPr>
          <w:gridAfter w:val="1"/>
          <w:wAfter w:w="3" w:type="pct"/>
        </w:trPr>
        <w:tc>
          <w:tcPr>
            <w:tcW w:w="4997" w:type="pct"/>
            <w:gridSpan w:val="4"/>
            <w:shd w:val="clear" w:color="auto" w:fill="BFBFBF" w:themeFill="background1" w:themeFillShade="BF"/>
          </w:tcPr>
          <w:p w14:paraId="22107E9A" w14:textId="77777777" w:rsidR="00CF3963" w:rsidRPr="000412A1" w:rsidRDefault="00CF3963" w:rsidP="0084461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445D1D52" w14:textId="77777777" w:rsidTr="00451775">
        <w:trPr>
          <w:gridAfter w:val="1"/>
          <w:wAfter w:w="3" w:type="pct"/>
        </w:trPr>
        <w:tc>
          <w:tcPr>
            <w:tcW w:w="4997" w:type="pct"/>
            <w:gridSpan w:val="4"/>
          </w:tcPr>
          <w:p w14:paraId="39340524"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14:paraId="337EF12E" w14:textId="77777777" w:rsidR="005A5EB3" w:rsidRDefault="005A5EB3" w:rsidP="0084461B">
            <w:pPr>
              <w:rPr>
                <w:rFonts w:eastAsiaTheme="minorEastAsia" w:cs="Arial"/>
                <w:b/>
                <w:szCs w:val="24"/>
                <w:u w:val="single"/>
              </w:rPr>
            </w:pPr>
          </w:p>
          <w:p w14:paraId="467E15C4" w14:textId="5FAAA2D2" w:rsidR="004319E4" w:rsidRDefault="00A012B5" w:rsidP="00A012B5">
            <w:pPr>
              <w:rPr>
                <w:rFonts w:eastAsiaTheme="minorEastAsia" w:cs="Arial"/>
                <w:szCs w:val="24"/>
              </w:rPr>
            </w:pPr>
            <w:r>
              <w:rPr>
                <w:rFonts w:eastAsiaTheme="minorEastAsia" w:cs="Arial"/>
                <w:szCs w:val="24"/>
              </w:rPr>
              <w:t xml:space="preserve">The </w:t>
            </w:r>
            <w:r w:rsidR="004319E4">
              <w:rPr>
                <w:rFonts w:eastAsiaTheme="minorEastAsia" w:cs="Arial"/>
                <w:szCs w:val="24"/>
              </w:rPr>
              <w:t xml:space="preserve">total </w:t>
            </w:r>
            <w:r>
              <w:rPr>
                <w:rFonts w:eastAsiaTheme="minorEastAsia" w:cs="Arial"/>
                <w:szCs w:val="24"/>
              </w:rPr>
              <w:t xml:space="preserve">value of the scheme </w:t>
            </w:r>
            <w:r w:rsidR="00FF5E4F">
              <w:rPr>
                <w:rFonts w:eastAsiaTheme="minorEastAsia" w:cs="Arial"/>
                <w:szCs w:val="24"/>
              </w:rPr>
              <w:t xml:space="preserve">is </w:t>
            </w:r>
            <w:r w:rsidR="004319E4">
              <w:rPr>
                <w:rFonts w:eastAsiaTheme="minorEastAsia" w:cs="Arial"/>
                <w:szCs w:val="24"/>
              </w:rPr>
              <w:t xml:space="preserve">calculated as </w:t>
            </w:r>
            <w:r>
              <w:rPr>
                <w:rFonts w:eastAsiaTheme="minorEastAsia" w:cs="Arial"/>
                <w:szCs w:val="24"/>
              </w:rPr>
              <w:t xml:space="preserve">1.25% </w:t>
            </w:r>
            <w:r w:rsidR="004319E4">
              <w:rPr>
                <w:rFonts w:eastAsiaTheme="minorEastAsia" w:cs="Arial"/>
                <w:szCs w:val="24"/>
              </w:rPr>
              <w:t xml:space="preserve">of </w:t>
            </w:r>
            <w:r>
              <w:rPr>
                <w:rFonts w:eastAsiaTheme="minorEastAsia" w:cs="Arial"/>
                <w:szCs w:val="24"/>
              </w:rPr>
              <w:t xml:space="preserve">the </w:t>
            </w:r>
            <w:r w:rsidR="004319E4">
              <w:rPr>
                <w:rFonts w:eastAsiaTheme="minorEastAsia" w:cs="Arial"/>
                <w:szCs w:val="24"/>
              </w:rPr>
              <w:t>baseline</w:t>
            </w:r>
            <w:r>
              <w:rPr>
                <w:rFonts w:eastAsiaTheme="minorEastAsia" w:cs="Arial"/>
                <w:szCs w:val="24"/>
              </w:rPr>
              <w:t xml:space="preserve"> value of the provider contract</w:t>
            </w:r>
            <w:r w:rsidR="004263C5">
              <w:rPr>
                <w:rFonts w:eastAsiaTheme="minorEastAsia" w:cs="Arial"/>
                <w:szCs w:val="24"/>
              </w:rPr>
              <w:t xml:space="preserve"> for relevant </w:t>
            </w:r>
            <w:r w:rsidR="00E15FC1">
              <w:rPr>
                <w:rFonts w:eastAsiaTheme="minorEastAsia" w:cs="Arial"/>
                <w:szCs w:val="24"/>
              </w:rPr>
              <w:t xml:space="preserve">adult secure </w:t>
            </w:r>
            <w:r w:rsidR="004263C5">
              <w:rPr>
                <w:rFonts w:eastAsiaTheme="minorEastAsia" w:cs="Arial"/>
                <w:szCs w:val="24"/>
              </w:rPr>
              <w:t>services</w:t>
            </w:r>
            <w:r>
              <w:rPr>
                <w:rFonts w:eastAsiaTheme="minorEastAsia" w:cs="Arial"/>
                <w:szCs w:val="24"/>
              </w:rPr>
              <w:t xml:space="preserve">. </w:t>
            </w:r>
          </w:p>
          <w:p w14:paraId="44C34FED" w14:textId="77777777" w:rsidR="004319E4" w:rsidRDefault="004319E4" w:rsidP="00A012B5">
            <w:pPr>
              <w:rPr>
                <w:rFonts w:eastAsiaTheme="minorEastAsia" w:cs="Arial"/>
                <w:szCs w:val="24"/>
              </w:rPr>
            </w:pPr>
          </w:p>
          <w:p w14:paraId="27F74A34" w14:textId="35DDA357" w:rsidR="00FF5E4F" w:rsidRDefault="00A012B5" w:rsidP="00A012B5">
            <w:pPr>
              <w:rPr>
                <w:rFonts w:eastAsiaTheme="minorEastAsia" w:cs="Arial"/>
                <w:szCs w:val="24"/>
              </w:rPr>
            </w:pPr>
            <w:r>
              <w:rPr>
                <w:rFonts w:eastAsiaTheme="minorEastAsia" w:cs="Arial"/>
                <w:szCs w:val="24"/>
              </w:rPr>
              <w:t xml:space="preserve">Provider payment </w:t>
            </w:r>
            <w:r w:rsidR="004319E4">
              <w:rPr>
                <w:rFonts w:eastAsiaTheme="minorEastAsia" w:cs="Arial"/>
                <w:szCs w:val="24"/>
              </w:rPr>
              <w:t xml:space="preserve">is </w:t>
            </w:r>
            <w:r>
              <w:rPr>
                <w:rFonts w:eastAsiaTheme="minorEastAsia" w:cs="Arial"/>
                <w:szCs w:val="24"/>
              </w:rPr>
              <w:t xml:space="preserve">split against the </w:t>
            </w:r>
            <w:r w:rsidR="004319E4">
              <w:rPr>
                <w:rFonts w:eastAsiaTheme="minorEastAsia" w:cs="Arial"/>
                <w:szCs w:val="24"/>
              </w:rPr>
              <w:t xml:space="preserve">scheme </w:t>
            </w:r>
            <w:r>
              <w:rPr>
                <w:rFonts w:eastAsiaTheme="minorEastAsia" w:cs="Arial"/>
                <w:szCs w:val="24"/>
              </w:rPr>
              <w:t>triggers in</w:t>
            </w:r>
            <w:r w:rsidR="004319E4">
              <w:rPr>
                <w:rFonts w:eastAsiaTheme="minorEastAsia" w:cs="Arial"/>
                <w:szCs w:val="24"/>
              </w:rPr>
              <w:t xml:space="preserve"> Section C4 below. The % split for each trigger is also set out in Section C4 below</w:t>
            </w:r>
            <w:r w:rsidR="004263C5">
              <w:rPr>
                <w:rFonts w:eastAsiaTheme="minorEastAsia" w:cs="Arial"/>
                <w:szCs w:val="24"/>
              </w:rPr>
              <w:t>.</w:t>
            </w:r>
          </w:p>
          <w:p w14:paraId="06DCFA54" w14:textId="06632FD8" w:rsidR="00A012B5" w:rsidRDefault="00A012B5" w:rsidP="00A012B5">
            <w:pPr>
              <w:rPr>
                <w:rFonts w:eastAsiaTheme="minorEastAsia" w:cs="Arial"/>
                <w:szCs w:val="24"/>
              </w:rPr>
            </w:pPr>
          </w:p>
          <w:p w14:paraId="02566116" w14:textId="5FE16BF2" w:rsidR="008C2AE5" w:rsidRDefault="00CF3963" w:rsidP="0084461B">
            <w:pPr>
              <w:rPr>
                <w:rFonts w:cs="Arial"/>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13B93CC5" w14:textId="4D243D74" w:rsidR="008C2AE5" w:rsidRPr="001350E0" w:rsidRDefault="008C2AE5" w:rsidP="0084461B">
            <w:pPr>
              <w:rPr>
                <w:rFonts w:cs="Arial"/>
                <w:szCs w:val="24"/>
              </w:rPr>
            </w:pPr>
          </w:p>
        </w:tc>
      </w:tr>
      <w:tr w:rsidR="00CF3963" w:rsidRPr="00C0210F" w14:paraId="3AE9A616" w14:textId="77777777" w:rsidTr="00451775">
        <w:tc>
          <w:tcPr>
            <w:tcW w:w="5000" w:type="pct"/>
            <w:gridSpan w:val="5"/>
            <w:shd w:val="clear" w:color="auto" w:fill="D9D9D9" w:themeFill="background1" w:themeFillShade="D9"/>
          </w:tcPr>
          <w:p w14:paraId="433A9EC4" w14:textId="2D079CEF" w:rsidR="00CF3963" w:rsidRPr="00292053" w:rsidRDefault="00F71B0E" w:rsidP="005931C4">
            <w:pPr>
              <w:rPr>
                <w:rFonts w:eastAsiaTheme="minorEastAsia" w:cs="Arial"/>
                <w:b/>
                <w:szCs w:val="24"/>
              </w:rPr>
            </w:pPr>
            <w:r>
              <w:br w:type="page"/>
            </w:r>
            <w:r w:rsidR="00233243">
              <w:br w:type="page"/>
            </w:r>
            <w:r w:rsidR="00CF3963">
              <w:rPr>
                <w:rFonts w:eastAsiaTheme="minorEastAsia" w:cs="Arial"/>
                <w:b/>
                <w:szCs w:val="24"/>
              </w:rPr>
              <w:t xml:space="preserve">C4. </w:t>
            </w:r>
            <w:r w:rsidR="00CF3963" w:rsidRPr="00292053">
              <w:rPr>
                <w:rFonts w:eastAsiaTheme="minorEastAsia" w:cs="Arial"/>
                <w:b/>
                <w:szCs w:val="24"/>
              </w:rPr>
              <w:t>Payment Triggers and Partial Achievement Rules</w:t>
            </w:r>
          </w:p>
        </w:tc>
      </w:tr>
      <w:tr w:rsidR="00CF3963" w:rsidRPr="000412A1" w14:paraId="3097C4C9" w14:textId="77777777" w:rsidTr="00451775">
        <w:trPr>
          <w:trHeight w:val="949"/>
        </w:trPr>
        <w:tc>
          <w:tcPr>
            <w:tcW w:w="5000" w:type="pct"/>
            <w:gridSpan w:val="5"/>
            <w:shd w:val="clear" w:color="auto" w:fill="auto"/>
          </w:tcPr>
          <w:p w14:paraId="30956E83" w14:textId="77777777" w:rsidR="00CF3963" w:rsidRPr="00FC4A20" w:rsidRDefault="00CF3963" w:rsidP="0084461B">
            <w:pPr>
              <w:rPr>
                <w:rFonts w:eastAsiaTheme="minorEastAsia" w:cs="Arial"/>
                <w:b/>
                <w:szCs w:val="24"/>
                <w:u w:val="single"/>
              </w:rPr>
            </w:pPr>
            <w:r w:rsidRPr="00FC4A20">
              <w:rPr>
                <w:rFonts w:eastAsiaTheme="minorEastAsia" w:cs="Arial"/>
                <w:b/>
                <w:szCs w:val="24"/>
                <w:u w:val="single"/>
              </w:rPr>
              <w:t>Payment Triggers</w:t>
            </w:r>
          </w:p>
          <w:p w14:paraId="511461E0" w14:textId="69644041" w:rsidR="00E962EC" w:rsidRDefault="00CF3963" w:rsidP="0084461B">
            <w:pPr>
              <w:rPr>
                <w:rFonts w:eastAsiaTheme="minorEastAsia" w:cs="Arial"/>
                <w:b/>
                <w:szCs w:val="24"/>
              </w:rPr>
            </w:pPr>
            <w:r w:rsidRPr="00FC4A20">
              <w:rPr>
                <w:rFonts w:eastAsiaTheme="minorEastAsia" w:cs="Arial"/>
                <w:b/>
                <w:szCs w:val="24"/>
              </w:rPr>
              <w:t xml:space="preserve">The interventions or achievements required for payment under this CQUIN </w:t>
            </w:r>
            <w:r w:rsidR="001F421F" w:rsidRPr="00FC4A20">
              <w:rPr>
                <w:rFonts w:eastAsiaTheme="minorEastAsia" w:cs="Arial"/>
                <w:b/>
                <w:szCs w:val="24"/>
              </w:rPr>
              <w:t>indicator</w:t>
            </w:r>
            <w:r w:rsidRPr="00FC4A20">
              <w:rPr>
                <w:rFonts w:eastAsiaTheme="minorEastAsia" w:cs="Arial"/>
                <w:b/>
                <w:szCs w:val="24"/>
              </w:rPr>
              <w:t xml:space="preserve"> are as follows:</w:t>
            </w:r>
          </w:p>
          <w:p w14:paraId="4601DD26" w14:textId="77777777" w:rsidR="00923EAB" w:rsidRPr="00FC4A20" w:rsidRDefault="00923EAB" w:rsidP="0084461B">
            <w:pPr>
              <w:rPr>
                <w:rFonts w:cs="Arial"/>
                <w:b/>
                <w:szCs w:val="24"/>
                <w:u w:val="single"/>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4117"/>
              <w:gridCol w:w="3863"/>
            </w:tblGrid>
            <w:tr w:rsidR="00392602" w:rsidRPr="00472A65" w14:paraId="385D01F3" w14:textId="77777777" w:rsidTr="00923EAB">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BA884" w14:textId="77777777" w:rsidR="00392602" w:rsidRPr="00FC4A20" w:rsidRDefault="00392602" w:rsidP="0084461B">
                  <w:pPr>
                    <w:spacing w:before="40" w:after="40"/>
                    <w:rPr>
                      <w:rFonts w:cs="Arial"/>
                      <w:b/>
                      <w:szCs w:val="24"/>
                    </w:rPr>
                  </w:pPr>
                  <w:r w:rsidRPr="00FC4A20">
                    <w:rPr>
                      <w:rFonts w:cs="Arial"/>
                      <w:b/>
                      <w:szCs w:val="24"/>
                    </w:rPr>
                    <w:t>Descriptions</w:t>
                  </w:r>
                </w:p>
              </w:tc>
              <w:tc>
                <w:tcPr>
                  <w:tcW w:w="41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7C9722" w14:textId="467BF063" w:rsidR="00392602" w:rsidRPr="00FC4A20" w:rsidRDefault="00392602" w:rsidP="0084461B">
                  <w:pPr>
                    <w:spacing w:before="40" w:after="40"/>
                    <w:rPr>
                      <w:rFonts w:cs="Arial"/>
                      <w:b/>
                      <w:szCs w:val="24"/>
                    </w:rPr>
                  </w:pPr>
                  <w:r w:rsidRPr="00FC4A20">
                    <w:rPr>
                      <w:rFonts w:cs="Arial"/>
                      <w:b/>
                      <w:szCs w:val="24"/>
                    </w:rPr>
                    <w:t xml:space="preserve">First Year </w:t>
                  </w:r>
                </w:p>
              </w:tc>
              <w:tc>
                <w:tcPr>
                  <w:tcW w:w="38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BEE29F" w14:textId="77777777" w:rsidR="00392602" w:rsidRPr="00FC4A20" w:rsidRDefault="00392602" w:rsidP="0084461B">
                  <w:pPr>
                    <w:spacing w:before="40" w:after="40"/>
                    <w:rPr>
                      <w:rFonts w:cs="Arial"/>
                      <w:b/>
                      <w:szCs w:val="24"/>
                    </w:rPr>
                  </w:pPr>
                  <w:r w:rsidRPr="00FC4A20">
                    <w:rPr>
                      <w:rFonts w:cs="Arial"/>
                      <w:b/>
                      <w:szCs w:val="24"/>
                    </w:rPr>
                    <w:t>Second Year</w:t>
                  </w:r>
                </w:p>
              </w:tc>
            </w:tr>
            <w:tr w:rsidR="00392602" w:rsidRPr="00472A65" w14:paraId="5F4F1AEB" w14:textId="77777777" w:rsidTr="00923EAB">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208970" w14:textId="77777777" w:rsidR="00392602" w:rsidRPr="00FC4A20" w:rsidRDefault="00392602" w:rsidP="0084461B">
                  <w:pPr>
                    <w:spacing w:before="40" w:after="40"/>
                    <w:rPr>
                      <w:rFonts w:cs="Arial"/>
                      <w:b/>
                      <w:szCs w:val="24"/>
                    </w:rPr>
                  </w:pPr>
                  <w:r w:rsidRPr="00FC4A20">
                    <w:rPr>
                      <w:rFonts w:cs="Arial"/>
                      <w:b/>
                      <w:szCs w:val="24"/>
                    </w:rPr>
                    <w:t>Trigger 1:</w:t>
                  </w:r>
                </w:p>
                <w:p w14:paraId="7245766F" w14:textId="77777777" w:rsidR="00392602" w:rsidRPr="00FC4A20" w:rsidRDefault="00392602" w:rsidP="0084461B">
                  <w:pPr>
                    <w:spacing w:before="40" w:after="40"/>
                    <w:rPr>
                      <w:rFonts w:cs="Arial"/>
                      <w:b/>
                      <w:szCs w:val="24"/>
                    </w:rPr>
                  </w:pP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547424C3" w14:textId="798D9570" w:rsidR="005B4861" w:rsidRDefault="005B4861" w:rsidP="004319E4">
                  <w:pPr>
                    <w:spacing w:before="40" w:after="40"/>
                    <w:rPr>
                      <w:rFonts w:cs="Arial"/>
                      <w:sz w:val="22"/>
                      <w:szCs w:val="22"/>
                    </w:rPr>
                  </w:pPr>
                  <w:r>
                    <w:rPr>
                      <w:rFonts w:cs="Arial"/>
                      <w:sz w:val="22"/>
                      <w:szCs w:val="22"/>
                    </w:rPr>
                    <w:t>Q1 and Q2</w:t>
                  </w:r>
                </w:p>
                <w:p w14:paraId="1A48B435" w14:textId="4BAECBA8" w:rsidR="0018544B" w:rsidRDefault="005B4861" w:rsidP="004319E4">
                  <w:pPr>
                    <w:spacing w:before="40" w:after="40"/>
                    <w:rPr>
                      <w:rFonts w:cs="Arial"/>
                      <w:sz w:val="22"/>
                      <w:szCs w:val="22"/>
                    </w:rPr>
                  </w:pPr>
                  <w:r>
                    <w:rPr>
                      <w:rFonts w:cs="Arial"/>
                      <w:sz w:val="22"/>
                      <w:szCs w:val="22"/>
                    </w:rPr>
                    <w:t>Using guidance in appendix</w:t>
                  </w:r>
                  <w:r w:rsidR="009D1128">
                    <w:rPr>
                      <w:rFonts w:cs="Arial"/>
                      <w:sz w:val="22"/>
                      <w:szCs w:val="22"/>
                    </w:rPr>
                    <w:t>,</w:t>
                  </w:r>
                  <w:r>
                    <w:rPr>
                      <w:rFonts w:cs="Arial"/>
                      <w:sz w:val="22"/>
                      <w:szCs w:val="22"/>
                    </w:rPr>
                    <w:t xml:space="preserve"> each </w:t>
                  </w:r>
                  <w:r w:rsidR="0018544B">
                    <w:rPr>
                      <w:rFonts w:cs="Arial"/>
                      <w:sz w:val="22"/>
                      <w:szCs w:val="22"/>
                    </w:rPr>
                    <w:t xml:space="preserve">Provider </w:t>
                  </w:r>
                  <w:r>
                    <w:rPr>
                      <w:rFonts w:cs="Arial"/>
                      <w:sz w:val="22"/>
                      <w:szCs w:val="22"/>
                    </w:rPr>
                    <w:t xml:space="preserve">to </w:t>
                  </w:r>
                </w:p>
                <w:p w14:paraId="6A1C5C50" w14:textId="0C6F8A53" w:rsidR="00392602" w:rsidRDefault="005B4861" w:rsidP="00923EAB">
                  <w:pPr>
                    <w:pStyle w:val="ListParagraph"/>
                    <w:numPr>
                      <w:ilvl w:val="0"/>
                      <w:numId w:val="15"/>
                    </w:numPr>
                    <w:spacing w:before="40" w:after="40"/>
                    <w:rPr>
                      <w:rFonts w:cs="Arial"/>
                      <w:sz w:val="22"/>
                      <w:szCs w:val="22"/>
                    </w:rPr>
                  </w:pPr>
                  <w:r>
                    <w:rPr>
                      <w:rFonts w:cs="Arial"/>
                      <w:sz w:val="22"/>
                      <w:szCs w:val="22"/>
                    </w:rPr>
                    <w:t>Demonstrate r</w:t>
                  </w:r>
                  <w:r w:rsidR="0018544B" w:rsidRPr="0018544B">
                    <w:rPr>
                      <w:rFonts w:cs="Arial"/>
                      <w:sz w:val="22"/>
                      <w:szCs w:val="22"/>
                    </w:rPr>
                    <w:t xml:space="preserve">obust understanding of why change is needed </w:t>
                  </w:r>
                  <w:r>
                    <w:rPr>
                      <w:rFonts w:cs="Arial"/>
                      <w:sz w:val="22"/>
                      <w:szCs w:val="22"/>
                    </w:rPr>
                    <w:t xml:space="preserve">in each service </w:t>
                  </w:r>
                </w:p>
                <w:p w14:paraId="2C28B57F" w14:textId="77777777" w:rsidR="005B4861" w:rsidRDefault="005B4861" w:rsidP="00923EAB">
                  <w:pPr>
                    <w:pStyle w:val="ListParagraph"/>
                    <w:numPr>
                      <w:ilvl w:val="0"/>
                      <w:numId w:val="15"/>
                    </w:numPr>
                    <w:spacing w:before="40" w:after="40"/>
                    <w:rPr>
                      <w:rFonts w:cs="Arial"/>
                      <w:sz w:val="22"/>
                      <w:szCs w:val="22"/>
                    </w:rPr>
                  </w:pPr>
                  <w:r w:rsidRPr="005B4861">
                    <w:rPr>
                      <w:rFonts w:cs="Arial"/>
                      <w:sz w:val="22"/>
                      <w:szCs w:val="22"/>
                    </w:rPr>
                    <w:t>Establish baseline service position and identify change required</w:t>
                  </w:r>
                </w:p>
                <w:p w14:paraId="28E21A9B" w14:textId="77777777" w:rsidR="009D1128" w:rsidRPr="005B4861" w:rsidRDefault="009D1128" w:rsidP="009D1128">
                  <w:pPr>
                    <w:pStyle w:val="ListParagraph"/>
                    <w:numPr>
                      <w:ilvl w:val="0"/>
                      <w:numId w:val="15"/>
                    </w:numPr>
                    <w:spacing w:before="40" w:after="40"/>
                    <w:rPr>
                      <w:rFonts w:cs="Arial"/>
                      <w:sz w:val="22"/>
                      <w:szCs w:val="22"/>
                    </w:rPr>
                  </w:pPr>
                  <w:r>
                    <w:rPr>
                      <w:rFonts w:cs="Arial"/>
                      <w:sz w:val="22"/>
                      <w:szCs w:val="22"/>
                    </w:rPr>
                    <w:t>Develop a co-produced change</w:t>
                  </w:r>
                  <w:r w:rsidRPr="005B4861">
                    <w:rPr>
                      <w:rFonts w:cs="Arial"/>
                      <w:sz w:val="22"/>
                      <w:szCs w:val="22"/>
                    </w:rPr>
                    <w:t xml:space="preserve"> programme</w:t>
                  </w:r>
                  <w:r>
                    <w:rPr>
                      <w:rFonts w:cs="Arial"/>
                      <w:sz w:val="22"/>
                      <w:szCs w:val="22"/>
                    </w:rPr>
                    <w:t xml:space="preserve"> including outcome metrics, delivery mechanisms/approach</w:t>
                  </w:r>
                  <w:r w:rsidRPr="005B4861">
                    <w:rPr>
                      <w:rFonts w:cs="Arial"/>
                      <w:sz w:val="22"/>
                      <w:szCs w:val="22"/>
                    </w:rPr>
                    <w:t xml:space="preserve"> and resources </w:t>
                  </w:r>
                  <w:r>
                    <w:rPr>
                      <w:rFonts w:cs="Arial"/>
                      <w:sz w:val="22"/>
                      <w:szCs w:val="22"/>
                    </w:rPr>
                    <w:t xml:space="preserve">required </w:t>
                  </w:r>
                  <w:r w:rsidRPr="005B4861">
                    <w:rPr>
                      <w:rFonts w:cs="Arial"/>
                      <w:sz w:val="22"/>
                      <w:szCs w:val="22"/>
                    </w:rPr>
                    <w:t>to deliver improvements against baseline in each service</w:t>
                  </w:r>
                </w:p>
                <w:p w14:paraId="052377D7" w14:textId="77777777" w:rsidR="009D1128" w:rsidRDefault="009D1128" w:rsidP="009D1128">
                  <w:pPr>
                    <w:pStyle w:val="ListParagraph"/>
                    <w:numPr>
                      <w:ilvl w:val="0"/>
                      <w:numId w:val="15"/>
                    </w:numPr>
                    <w:spacing w:before="40" w:after="40"/>
                    <w:rPr>
                      <w:rFonts w:cs="Arial"/>
                      <w:sz w:val="22"/>
                      <w:szCs w:val="22"/>
                    </w:rPr>
                  </w:pPr>
                  <w:r>
                    <w:rPr>
                      <w:rFonts w:cs="Arial"/>
                      <w:sz w:val="22"/>
                      <w:szCs w:val="22"/>
                    </w:rPr>
                    <w:t>Demonstrate corporate and senior service clinical and management team commitment to actions needed and resource requirements</w:t>
                  </w:r>
                </w:p>
                <w:p w14:paraId="3CB92A2E" w14:textId="77777777" w:rsidR="009D1128" w:rsidRDefault="009D1128" w:rsidP="009D1128">
                  <w:pPr>
                    <w:pStyle w:val="ListParagraph"/>
                    <w:numPr>
                      <w:ilvl w:val="0"/>
                      <w:numId w:val="15"/>
                    </w:numPr>
                    <w:spacing w:before="40" w:after="40"/>
                    <w:rPr>
                      <w:rFonts w:cs="Arial"/>
                      <w:sz w:val="22"/>
                      <w:szCs w:val="22"/>
                    </w:rPr>
                  </w:pPr>
                  <w:r>
                    <w:rPr>
                      <w:rFonts w:cs="Arial"/>
                      <w:sz w:val="22"/>
                      <w:szCs w:val="22"/>
                    </w:rPr>
                    <w:lastRenderedPageBreak/>
                    <w:t>Establish</w:t>
                  </w:r>
                  <w:r w:rsidRPr="00A84B3C">
                    <w:rPr>
                      <w:rFonts w:cs="Arial"/>
                      <w:sz w:val="22"/>
                      <w:szCs w:val="22"/>
                    </w:rPr>
                    <w:t xml:space="preserve"> service/organisa</w:t>
                  </w:r>
                  <w:r>
                    <w:rPr>
                      <w:rFonts w:cs="Arial"/>
                      <w:sz w:val="22"/>
                      <w:szCs w:val="22"/>
                    </w:rPr>
                    <w:t>tional governance infrastructure that includes patient representatives together with the reporting</w:t>
                  </w:r>
                  <w:r w:rsidRPr="00A84B3C">
                    <w:rPr>
                      <w:rFonts w:cs="Arial"/>
                      <w:sz w:val="22"/>
                      <w:szCs w:val="22"/>
                    </w:rPr>
                    <w:t xml:space="preserve"> </w:t>
                  </w:r>
                  <w:r>
                    <w:rPr>
                      <w:rFonts w:cs="Arial"/>
                      <w:sz w:val="22"/>
                      <w:szCs w:val="22"/>
                    </w:rPr>
                    <w:t xml:space="preserve">and communication processes </w:t>
                  </w:r>
                  <w:r w:rsidRPr="00A84B3C">
                    <w:rPr>
                      <w:rFonts w:cs="Arial"/>
                      <w:sz w:val="22"/>
                      <w:szCs w:val="22"/>
                    </w:rPr>
                    <w:t xml:space="preserve">needed to oversee </w:t>
                  </w:r>
                  <w:r>
                    <w:rPr>
                      <w:rFonts w:cs="Arial"/>
                      <w:sz w:val="22"/>
                      <w:szCs w:val="22"/>
                    </w:rPr>
                    <w:t xml:space="preserve">and deliver service change </w:t>
                  </w:r>
                  <w:r w:rsidRPr="00A84B3C">
                    <w:rPr>
                      <w:rFonts w:cs="Arial"/>
                      <w:sz w:val="22"/>
                      <w:szCs w:val="22"/>
                    </w:rPr>
                    <w:t>programme</w:t>
                  </w:r>
                  <w:r>
                    <w:rPr>
                      <w:rFonts w:cs="Arial"/>
                      <w:sz w:val="22"/>
                      <w:szCs w:val="22"/>
                    </w:rPr>
                    <w:t xml:space="preserve"> over years 1 and 2</w:t>
                  </w:r>
                </w:p>
                <w:p w14:paraId="4CE971BE" w14:textId="2693ED98" w:rsidR="00A84B3C" w:rsidRPr="0018544B" w:rsidRDefault="009D1128" w:rsidP="009D1128">
                  <w:pPr>
                    <w:pStyle w:val="ListParagraph"/>
                    <w:numPr>
                      <w:ilvl w:val="0"/>
                      <w:numId w:val="15"/>
                    </w:numPr>
                    <w:spacing w:before="40" w:after="40"/>
                    <w:rPr>
                      <w:rFonts w:cs="Arial"/>
                      <w:sz w:val="22"/>
                      <w:szCs w:val="22"/>
                    </w:rPr>
                  </w:pPr>
                  <w:r>
                    <w:rPr>
                      <w:rFonts w:cs="Arial"/>
                      <w:sz w:val="22"/>
                      <w:szCs w:val="22"/>
                    </w:rPr>
                    <w:t xml:space="preserve">Demonstrate active engagement and involvement in the work of the </w:t>
                  </w:r>
                  <w:r w:rsidRPr="006F6079">
                    <w:rPr>
                      <w:rFonts w:cs="Arial"/>
                      <w:sz w:val="22"/>
                      <w:szCs w:val="22"/>
                    </w:rPr>
                    <w:t>Adult Secure CRG Healthy Weight Task &amp; Finish Group</w:t>
                  </w:r>
                  <w:r>
                    <w:rPr>
                      <w:rFonts w:cs="Arial"/>
                      <w:sz w:val="22"/>
                      <w:szCs w:val="22"/>
                    </w:rPr>
                    <w:t xml:space="preserve"> including its outputs and timeframes for delivery</w:t>
                  </w:r>
                </w:p>
              </w:tc>
              <w:tc>
                <w:tcPr>
                  <w:tcW w:w="3863" w:type="dxa"/>
                  <w:tcBorders>
                    <w:top w:val="single" w:sz="4" w:space="0" w:color="auto"/>
                    <w:left w:val="single" w:sz="4" w:space="0" w:color="auto"/>
                    <w:bottom w:val="single" w:sz="4" w:space="0" w:color="auto"/>
                    <w:right w:val="single" w:sz="4" w:space="0" w:color="auto"/>
                  </w:tcBorders>
                  <w:shd w:val="clear" w:color="auto" w:fill="auto"/>
                </w:tcPr>
                <w:p w14:paraId="0393C41C" w14:textId="77777777" w:rsidR="009D1128" w:rsidRPr="00923EAB" w:rsidRDefault="009D1128" w:rsidP="009D1128">
                  <w:pPr>
                    <w:spacing w:before="40" w:after="40"/>
                    <w:rPr>
                      <w:rFonts w:cs="Arial"/>
                      <w:sz w:val="22"/>
                      <w:szCs w:val="22"/>
                    </w:rPr>
                  </w:pPr>
                  <w:r w:rsidRPr="00923EAB">
                    <w:rPr>
                      <w:rFonts w:cs="Arial"/>
                      <w:sz w:val="22"/>
                      <w:szCs w:val="22"/>
                    </w:rPr>
                    <w:lastRenderedPageBreak/>
                    <w:t>Q1 and Q2</w:t>
                  </w:r>
                </w:p>
                <w:p w14:paraId="56D71FA4" w14:textId="77777777" w:rsidR="009D1128" w:rsidRDefault="009D1128" w:rsidP="009D1128">
                  <w:pPr>
                    <w:spacing w:before="40" w:after="40"/>
                    <w:rPr>
                      <w:rFonts w:cs="Arial"/>
                      <w:sz w:val="22"/>
                      <w:szCs w:val="22"/>
                    </w:rPr>
                  </w:pPr>
                  <w:r w:rsidRPr="00923EAB">
                    <w:rPr>
                      <w:rFonts w:cs="Arial"/>
                      <w:sz w:val="22"/>
                      <w:szCs w:val="22"/>
                    </w:rPr>
                    <w:t>Provider to demonstrate</w:t>
                  </w:r>
                </w:p>
                <w:p w14:paraId="15E5BCA2" w14:textId="77777777" w:rsidR="009D1128" w:rsidRPr="00923EAB" w:rsidRDefault="009D1128" w:rsidP="009D1128">
                  <w:pPr>
                    <w:numPr>
                      <w:ilvl w:val="0"/>
                      <w:numId w:val="17"/>
                    </w:numPr>
                    <w:spacing w:before="40" w:after="40"/>
                    <w:contextualSpacing/>
                    <w:rPr>
                      <w:rFonts w:cs="Arial"/>
                      <w:sz w:val="22"/>
                      <w:szCs w:val="22"/>
                    </w:rPr>
                  </w:pPr>
                  <w:r w:rsidRPr="00923EAB">
                    <w:rPr>
                      <w:rFonts w:cs="Arial"/>
                      <w:sz w:val="22"/>
                      <w:szCs w:val="22"/>
                    </w:rPr>
                    <w:t xml:space="preserve">Active implementation of </w:t>
                  </w:r>
                  <w:r>
                    <w:rPr>
                      <w:rFonts w:cs="Arial"/>
                      <w:sz w:val="22"/>
                      <w:szCs w:val="22"/>
                    </w:rPr>
                    <w:t xml:space="preserve">refreshed </w:t>
                  </w:r>
                  <w:r w:rsidRPr="00923EAB">
                    <w:rPr>
                      <w:rFonts w:cs="Arial"/>
                      <w:sz w:val="22"/>
                      <w:szCs w:val="22"/>
                    </w:rPr>
                    <w:t xml:space="preserve">change programme </w:t>
                  </w:r>
                  <w:r>
                    <w:rPr>
                      <w:rFonts w:cs="Arial"/>
                      <w:sz w:val="22"/>
                      <w:szCs w:val="22"/>
                    </w:rPr>
                    <w:t>building on learning from year 1</w:t>
                  </w:r>
                </w:p>
                <w:p w14:paraId="29825577" w14:textId="77777777" w:rsidR="009D1128" w:rsidRPr="00923EAB" w:rsidRDefault="009D1128" w:rsidP="009D1128">
                  <w:pPr>
                    <w:numPr>
                      <w:ilvl w:val="0"/>
                      <w:numId w:val="17"/>
                    </w:numPr>
                    <w:spacing w:before="40" w:after="40"/>
                    <w:contextualSpacing/>
                    <w:rPr>
                      <w:rFonts w:cs="Arial"/>
                      <w:sz w:val="22"/>
                      <w:szCs w:val="22"/>
                    </w:rPr>
                  </w:pPr>
                  <w:r w:rsidRPr="00923EAB">
                    <w:rPr>
                      <w:rFonts w:cs="Arial"/>
                      <w:sz w:val="22"/>
                      <w:szCs w:val="22"/>
                    </w:rPr>
                    <w:t xml:space="preserve">Evidence of progress made against programme </w:t>
                  </w:r>
                  <w:r>
                    <w:rPr>
                      <w:rFonts w:cs="Arial"/>
                      <w:sz w:val="22"/>
                      <w:szCs w:val="22"/>
                    </w:rPr>
                    <w:t xml:space="preserve">deliverables </w:t>
                  </w:r>
                  <w:r w:rsidRPr="00923EAB">
                    <w:rPr>
                      <w:rFonts w:cs="Arial"/>
                      <w:sz w:val="22"/>
                      <w:szCs w:val="22"/>
                    </w:rPr>
                    <w:t xml:space="preserve">including demonstration of changes made at corporate, service and patient level </w:t>
                  </w:r>
                  <w:r>
                    <w:rPr>
                      <w:rFonts w:cs="Arial"/>
                      <w:sz w:val="22"/>
                      <w:szCs w:val="22"/>
                    </w:rPr>
                    <w:t>and impact on service baselines</w:t>
                  </w:r>
                </w:p>
                <w:p w14:paraId="5F52016B" w14:textId="08157C11" w:rsidR="00923EAB" w:rsidRPr="00923EAB" w:rsidRDefault="009D1128" w:rsidP="009D1128">
                  <w:pPr>
                    <w:pStyle w:val="ListParagraph"/>
                    <w:numPr>
                      <w:ilvl w:val="0"/>
                      <w:numId w:val="17"/>
                    </w:numPr>
                    <w:spacing w:before="40" w:after="40"/>
                    <w:rPr>
                      <w:rFonts w:cs="Arial"/>
                      <w:sz w:val="22"/>
                      <w:szCs w:val="22"/>
                    </w:rPr>
                  </w:pPr>
                  <w:r w:rsidRPr="006F6079">
                    <w:rPr>
                      <w:rFonts w:cs="Arial"/>
                      <w:sz w:val="22"/>
                      <w:szCs w:val="22"/>
                    </w:rPr>
                    <w:t>Demonstrate active engagement and involvement in the work of the Adult Secure CRG Healthy Weight Task &amp; Finish Group including its outputs and timeframes for delivery</w:t>
                  </w:r>
                </w:p>
              </w:tc>
            </w:tr>
            <w:tr w:rsidR="00392602" w:rsidRPr="00472A65" w14:paraId="4072BFD8" w14:textId="77777777" w:rsidTr="00923EAB">
              <w:tc>
                <w:tcPr>
                  <w:tcW w:w="1486" w:type="dxa"/>
                  <w:tcBorders>
                    <w:top w:val="single" w:sz="4" w:space="0" w:color="auto"/>
                    <w:left w:val="single" w:sz="4" w:space="0" w:color="auto"/>
                    <w:right w:val="single" w:sz="4" w:space="0" w:color="auto"/>
                  </w:tcBorders>
                  <w:shd w:val="clear" w:color="auto" w:fill="F2F2F2" w:themeFill="background1" w:themeFillShade="F2"/>
                  <w:hideMark/>
                </w:tcPr>
                <w:p w14:paraId="78C886E1" w14:textId="77777777" w:rsidR="00392602" w:rsidRPr="00FC4A20" w:rsidRDefault="00392602" w:rsidP="005E07A9">
                  <w:pPr>
                    <w:spacing w:before="40" w:after="40"/>
                    <w:rPr>
                      <w:rFonts w:cs="Arial"/>
                      <w:b/>
                      <w:szCs w:val="24"/>
                    </w:rPr>
                  </w:pPr>
                  <w:r w:rsidRPr="00FC4A20">
                    <w:rPr>
                      <w:rFonts w:cs="Arial"/>
                      <w:b/>
                      <w:szCs w:val="24"/>
                    </w:rPr>
                    <w:lastRenderedPageBreak/>
                    <w:t>Trigger 2:</w:t>
                  </w:r>
                </w:p>
                <w:p w14:paraId="3FEB59F4" w14:textId="77777777" w:rsidR="00392602" w:rsidRPr="00FC4A20" w:rsidRDefault="00392602" w:rsidP="005E07A9">
                  <w:pPr>
                    <w:spacing w:before="40" w:after="40"/>
                    <w:rPr>
                      <w:rFonts w:cs="Arial"/>
                      <w:b/>
                      <w:szCs w:val="24"/>
                    </w:rPr>
                  </w:pPr>
                </w:p>
              </w:tc>
              <w:tc>
                <w:tcPr>
                  <w:tcW w:w="4117" w:type="dxa"/>
                  <w:tcBorders>
                    <w:top w:val="single" w:sz="4" w:space="0" w:color="auto"/>
                    <w:left w:val="single" w:sz="4" w:space="0" w:color="auto"/>
                    <w:bottom w:val="single" w:sz="4" w:space="0" w:color="auto"/>
                    <w:right w:val="single" w:sz="4" w:space="0" w:color="auto"/>
                  </w:tcBorders>
                  <w:shd w:val="clear" w:color="auto" w:fill="auto"/>
                </w:tcPr>
                <w:p w14:paraId="5F7AC110" w14:textId="77777777" w:rsidR="00392602" w:rsidRDefault="00A84B3C" w:rsidP="00A84B3C">
                  <w:pPr>
                    <w:spacing w:before="40" w:after="40"/>
                    <w:rPr>
                      <w:rFonts w:cs="Arial"/>
                      <w:sz w:val="22"/>
                      <w:szCs w:val="22"/>
                    </w:rPr>
                  </w:pPr>
                  <w:r>
                    <w:rPr>
                      <w:rFonts w:cs="Arial"/>
                      <w:sz w:val="22"/>
                      <w:szCs w:val="22"/>
                    </w:rPr>
                    <w:t>Q3 and Q4</w:t>
                  </w:r>
                </w:p>
                <w:p w14:paraId="2B346727" w14:textId="04B676F7" w:rsidR="00A84B3C" w:rsidRDefault="00533B74" w:rsidP="00A84B3C">
                  <w:pPr>
                    <w:spacing w:before="40" w:after="40"/>
                    <w:rPr>
                      <w:rFonts w:cs="Arial"/>
                      <w:sz w:val="22"/>
                      <w:szCs w:val="22"/>
                    </w:rPr>
                  </w:pPr>
                  <w:r>
                    <w:rPr>
                      <w:rFonts w:cs="Arial"/>
                      <w:sz w:val="22"/>
                      <w:szCs w:val="22"/>
                    </w:rPr>
                    <w:t>Using guidance in the appendix</w:t>
                  </w:r>
                  <w:r w:rsidR="009D1128">
                    <w:rPr>
                      <w:rFonts w:cs="Arial"/>
                      <w:sz w:val="22"/>
                      <w:szCs w:val="22"/>
                    </w:rPr>
                    <w:t>,</w:t>
                  </w:r>
                  <w:r>
                    <w:rPr>
                      <w:rFonts w:cs="Arial"/>
                      <w:sz w:val="22"/>
                      <w:szCs w:val="22"/>
                    </w:rPr>
                    <w:t xml:space="preserve"> </w:t>
                  </w:r>
                  <w:r w:rsidR="00A84B3C">
                    <w:rPr>
                      <w:rFonts w:cs="Arial"/>
                      <w:sz w:val="22"/>
                      <w:szCs w:val="22"/>
                    </w:rPr>
                    <w:t>Provider to demonstrate</w:t>
                  </w:r>
                </w:p>
                <w:p w14:paraId="46117C3B" w14:textId="77777777" w:rsidR="00A84B3C" w:rsidRDefault="00A84B3C" w:rsidP="00923EAB">
                  <w:pPr>
                    <w:pStyle w:val="ListParagraph"/>
                    <w:numPr>
                      <w:ilvl w:val="0"/>
                      <w:numId w:val="16"/>
                    </w:numPr>
                    <w:spacing w:before="40" w:after="40"/>
                    <w:rPr>
                      <w:rFonts w:cs="Arial"/>
                      <w:sz w:val="22"/>
                      <w:szCs w:val="22"/>
                    </w:rPr>
                  </w:pPr>
                  <w:r>
                    <w:rPr>
                      <w:rFonts w:cs="Arial"/>
                      <w:sz w:val="22"/>
                      <w:szCs w:val="22"/>
                    </w:rPr>
                    <w:t xml:space="preserve">Active implementation of change programme </w:t>
                  </w:r>
                </w:p>
                <w:p w14:paraId="6C059381" w14:textId="77777777" w:rsidR="009D1128" w:rsidRDefault="009D1128" w:rsidP="009D1128">
                  <w:pPr>
                    <w:pStyle w:val="ListParagraph"/>
                    <w:numPr>
                      <w:ilvl w:val="0"/>
                      <w:numId w:val="16"/>
                    </w:numPr>
                    <w:spacing w:before="40" w:after="40"/>
                    <w:rPr>
                      <w:rFonts w:cs="Arial"/>
                      <w:sz w:val="22"/>
                      <w:szCs w:val="22"/>
                    </w:rPr>
                  </w:pPr>
                  <w:r>
                    <w:rPr>
                      <w:rFonts w:cs="Arial"/>
                      <w:sz w:val="22"/>
                      <w:szCs w:val="22"/>
                    </w:rPr>
                    <w:t>Providers to demonstrate they are developing an understanding of what interventions are most likely to drive a healthy weight in this setting considering the advice of dieticians, healthier food provision and uptake (even where this may go beyond normal service requirements as set out in the NHS contract)</w:t>
                  </w:r>
                </w:p>
                <w:p w14:paraId="2CF8BD0B" w14:textId="77777777" w:rsidR="009D1128" w:rsidRDefault="009D1128" w:rsidP="009D1128">
                  <w:pPr>
                    <w:pStyle w:val="ListParagraph"/>
                    <w:numPr>
                      <w:ilvl w:val="0"/>
                      <w:numId w:val="16"/>
                    </w:numPr>
                    <w:spacing w:before="40" w:after="40"/>
                    <w:rPr>
                      <w:rFonts w:cs="Arial"/>
                      <w:sz w:val="22"/>
                      <w:szCs w:val="22"/>
                    </w:rPr>
                  </w:pPr>
                  <w:r>
                    <w:rPr>
                      <w:rFonts w:cs="Arial"/>
                      <w:sz w:val="22"/>
                      <w:szCs w:val="22"/>
                    </w:rPr>
                    <w:t>Evidence of progress made against programme including demonstration of changes made at corporate, service and patient level and impact on service baselines</w:t>
                  </w:r>
                </w:p>
                <w:p w14:paraId="5D79082A" w14:textId="77777777" w:rsidR="009D1128" w:rsidRDefault="009D1128" w:rsidP="009D1128">
                  <w:pPr>
                    <w:pStyle w:val="ListParagraph"/>
                    <w:numPr>
                      <w:ilvl w:val="0"/>
                      <w:numId w:val="16"/>
                    </w:numPr>
                    <w:spacing w:before="40" w:after="40"/>
                    <w:rPr>
                      <w:rFonts w:cs="Arial"/>
                      <w:sz w:val="22"/>
                      <w:szCs w:val="22"/>
                    </w:rPr>
                  </w:pPr>
                  <w:r>
                    <w:rPr>
                      <w:rFonts w:cs="Arial"/>
                      <w:sz w:val="22"/>
                      <w:szCs w:val="22"/>
                    </w:rPr>
                    <w:t>Evaluation of impact and refreshed change programme reflecting outcome for implementation from Q1 year 2</w:t>
                  </w:r>
                </w:p>
                <w:p w14:paraId="510CA311" w14:textId="77777777" w:rsidR="009D1128" w:rsidRDefault="009D1128" w:rsidP="009D1128">
                  <w:pPr>
                    <w:pStyle w:val="ListParagraph"/>
                    <w:numPr>
                      <w:ilvl w:val="0"/>
                      <w:numId w:val="16"/>
                    </w:numPr>
                    <w:spacing w:before="40" w:after="40"/>
                    <w:rPr>
                      <w:rFonts w:cs="Arial"/>
                      <w:sz w:val="22"/>
                      <w:szCs w:val="22"/>
                    </w:rPr>
                  </w:pPr>
                  <w:r w:rsidRPr="006F6079">
                    <w:rPr>
                      <w:rFonts w:cs="Arial"/>
                      <w:sz w:val="22"/>
                      <w:szCs w:val="22"/>
                    </w:rPr>
                    <w:t xml:space="preserve">Demonstrate active engagement and involvement in the work of the Adult Secure CRG Healthy Weight Task &amp; Finish Group including its outputs and timeframes for delivery </w:t>
                  </w:r>
                </w:p>
                <w:p w14:paraId="02FFC84D" w14:textId="6CD896B8" w:rsidR="00D910E7" w:rsidRPr="00A84B3C" w:rsidRDefault="009D1128" w:rsidP="009D1128">
                  <w:pPr>
                    <w:pStyle w:val="ListParagraph"/>
                    <w:numPr>
                      <w:ilvl w:val="0"/>
                      <w:numId w:val="16"/>
                    </w:numPr>
                    <w:spacing w:before="40" w:after="40"/>
                    <w:rPr>
                      <w:rFonts w:cs="Arial"/>
                      <w:sz w:val="22"/>
                      <w:szCs w:val="22"/>
                    </w:rPr>
                  </w:pPr>
                  <w:r>
                    <w:rPr>
                      <w:rFonts w:cs="Arial"/>
                      <w:sz w:val="22"/>
                      <w:szCs w:val="22"/>
                    </w:rPr>
                    <w:t>Annual report by service co-produced with patients, staff and carers/families – reflecting on changes made and impact. Report to contain recommendations for continued action in year 2</w:t>
                  </w:r>
                </w:p>
              </w:tc>
              <w:tc>
                <w:tcPr>
                  <w:tcW w:w="3863" w:type="dxa"/>
                  <w:tcBorders>
                    <w:top w:val="single" w:sz="4" w:space="0" w:color="auto"/>
                    <w:left w:val="single" w:sz="4" w:space="0" w:color="auto"/>
                    <w:bottom w:val="single" w:sz="4" w:space="0" w:color="auto"/>
                    <w:right w:val="single" w:sz="4" w:space="0" w:color="auto"/>
                  </w:tcBorders>
                  <w:shd w:val="clear" w:color="auto" w:fill="auto"/>
                </w:tcPr>
                <w:p w14:paraId="667FB746" w14:textId="0E4AB203" w:rsidR="005109A8" w:rsidRDefault="005109A8" w:rsidP="005109A8">
                  <w:pPr>
                    <w:spacing w:before="40" w:after="40"/>
                    <w:rPr>
                      <w:rFonts w:cs="Arial"/>
                      <w:sz w:val="22"/>
                      <w:szCs w:val="22"/>
                    </w:rPr>
                  </w:pPr>
                  <w:r>
                    <w:rPr>
                      <w:rFonts w:cs="Arial"/>
                      <w:sz w:val="22"/>
                      <w:szCs w:val="22"/>
                    </w:rPr>
                    <w:t xml:space="preserve">Q3 and Q4 </w:t>
                  </w:r>
                </w:p>
                <w:p w14:paraId="3BCC0617" w14:textId="440A9EED" w:rsidR="005109A8" w:rsidRDefault="005109A8" w:rsidP="005109A8">
                  <w:pPr>
                    <w:spacing w:before="40" w:after="40"/>
                    <w:rPr>
                      <w:rFonts w:cs="Arial"/>
                      <w:sz w:val="22"/>
                      <w:szCs w:val="22"/>
                    </w:rPr>
                  </w:pPr>
                  <w:r>
                    <w:rPr>
                      <w:rFonts w:cs="Arial"/>
                      <w:sz w:val="22"/>
                      <w:szCs w:val="22"/>
                    </w:rPr>
                    <w:t>Provider to demonstrate</w:t>
                  </w:r>
                </w:p>
                <w:p w14:paraId="1D127F4B" w14:textId="77777777" w:rsidR="005109A8" w:rsidRDefault="005109A8" w:rsidP="005109A8">
                  <w:pPr>
                    <w:pStyle w:val="ListParagraph"/>
                    <w:numPr>
                      <w:ilvl w:val="0"/>
                      <w:numId w:val="16"/>
                    </w:numPr>
                    <w:spacing w:before="40" w:after="40"/>
                    <w:rPr>
                      <w:rFonts w:cs="Arial"/>
                      <w:sz w:val="22"/>
                      <w:szCs w:val="22"/>
                    </w:rPr>
                  </w:pPr>
                  <w:r>
                    <w:rPr>
                      <w:rFonts w:cs="Arial"/>
                      <w:sz w:val="22"/>
                      <w:szCs w:val="22"/>
                    </w:rPr>
                    <w:t xml:space="preserve">Active implementation of change programme </w:t>
                  </w:r>
                </w:p>
                <w:p w14:paraId="6FE6AB6C" w14:textId="77777777" w:rsidR="009D1128" w:rsidRDefault="009D1128" w:rsidP="009D1128">
                  <w:pPr>
                    <w:pStyle w:val="ListParagraph"/>
                    <w:numPr>
                      <w:ilvl w:val="0"/>
                      <w:numId w:val="16"/>
                    </w:numPr>
                    <w:spacing w:before="40" w:after="40"/>
                    <w:rPr>
                      <w:rFonts w:cs="Arial"/>
                      <w:sz w:val="22"/>
                      <w:szCs w:val="22"/>
                    </w:rPr>
                  </w:pPr>
                  <w:r>
                    <w:rPr>
                      <w:rFonts w:cs="Arial"/>
                      <w:sz w:val="22"/>
                      <w:szCs w:val="22"/>
                    </w:rPr>
                    <w:t>Evidence of progress made against programme including demonstration of changes made at corporate, service and patient level and impact on service baselines</w:t>
                  </w:r>
                </w:p>
                <w:p w14:paraId="7F4B3375" w14:textId="77777777" w:rsidR="009D1128" w:rsidRPr="00B9509C" w:rsidRDefault="009D1128" w:rsidP="009D1128">
                  <w:pPr>
                    <w:pStyle w:val="ListParagraph"/>
                    <w:numPr>
                      <w:ilvl w:val="0"/>
                      <w:numId w:val="16"/>
                    </w:numPr>
                    <w:spacing w:before="40" w:after="40"/>
                    <w:rPr>
                      <w:rFonts w:cs="Arial"/>
                      <w:sz w:val="22"/>
                      <w:szCs w:val="22"/>
                    </w:rPr>
                  </w:pPr>
                  <w:r w:rsidRPr="006F6079">
                    <w:rPr>
                      <w:rFonts w:cs="Arial"/>
                      <w:sz w:val="22"/>
                      <w:szCs w:val="22"/>
                    </w:rPr>
                    <w:t xml:space="preserve">Demonstrate active engagement and involvement in the work of the Adult Secure CRG Healthy Weight Task &amp; Finish Group including its outputs and timeframes for delivery </w:t>
                  </w:r>
                  <w:r w:rsidRPr="00B9509C">
                    <w:rPr>
                      <w:rFonts w:cs="Arial"/>
                      <w:sz w:val="22"/>
                      <w:szCs w:val="22"/>
                    </w:rPr>
                    <w:t xml:space="preserve">Final report by service co-produced with patients, staff and carers/families demonstrating impact on </w:t>
                  </w:r>
                  <w:r>
                    <w:rPr>
                      <w:rFonts w:cs="Arial"/>
                      <w:sz w:val="22"/>
                      <w:szCs w:val="22"/>
                    </w:rPr>
                    <w:t xml:space="preserve">service delivery, clinical </w:t>
                  </w:r>
                  <w:r w:rsidRPr="00B9509C">
                    <w:rPr>
                      <w:rFonts w:cs="Arial"/>
                      <w:sz w:val="22"/>
                      <w:szCs w:val="22"/>
                    </w:rPr>
                    <w:t xml:space="preserve">practice and patient outcomes.  </w:t>
                  </w:r>
                </w:p>
                <w:p w14:paraId="750EC31B" w14:textId="03021EFF" w:rsidR="00CF76D2" w:rsidRPr="005109A8" w:rsidRDefault="009D1128" w:rsidP="009D1128">
                  <w:pPr>
                    <w:pStyle w:val="ListParagraph"/>
                    <w:numPr>
                      <w:ilvl w:val="0"/>
                      <w:numId w:val="16"/>
                    </w:numPr>
                    <w:spacing w:before="40" w:after="40"/>
                    <w:rPr>
                      <w:rFonts w:cs="Arial"/>
                      <w:sz w:val="22"/>
                      <w:szCs w:val="22"/>
                    </w:rPr>
                  </w:pPr>
                  <w:r>
                    <w:rPr>
                      <w:rFonts w:cs="Arial"/>
                      <w:sz w:val="22"/>
                      <w:szCs w:val="22"/>
                    </w:rPr>
                    <w:t>Evidence of corporate and service plan to ensure action and improvement becomes business as usual</w:t>
                  </w:r>
                </w:p>
              </w:tc>
            </w:tr>
          </w:tbl>
          <w:p w14:paraId="605ED17E" w14:textId="77777777" w:rsidR="005E07A9" w:rsidRPr="00472A65" w:rsidRDefault="005E07A9" w:rsidP="005E07A9">
            <w:pPr>
              <w:rPr>
                <w:rFonts w:eastAsiaTheme="minorEastAsia" w:cs="Arial"/>
                <w:b/>
                <w:color w:val="548DD4" w:themeColor="text2" w:themeTint="99"/>
                <w:szCs w:val="24"/>
                <w:u w:val="single"/>
              </w:rPr>
            </w:pPr>
          </w:p>
        </w:tc>
      </w:tr>
      <w:tr w:rsidR="00CF3963" w:rsidRPr="000412A1" w14:paraId="3A77EA2F" w14:textId="77777777" w:rsidTr="00451775">
        <w:tc>
          <w:tcPr>
            <w:tcW w:w="5000" w:type="pct"/>
            <w:gridSpan w:val="5"/>
          </w:tcPr>
          <w:p w14:paraId="49F26008" w14:textId="5F0868E5" w:rsidR="00CF3963" w:rsidRPr="005931C4" w:rsidRDefault="00C30831" w:rsidP="005931C4">
            <w:pPr>
              <w:rPr>
                <w:rFonts w:eastAsiaTheme="minorEastAsia" w:cs="Arial"/>
                <w:szCs w:val="24"/>
                <w:u w:val="single"/>
              </w:rPr>
            </w:pPr>
            <w:r>
              <w:lastRenderedPageBreak/>
              <w:br w:type="page"/>
            </w:r>
            <w:r w:rsidR="00CF3963" w:rsidRPr="005931C4">
              <w:rPr>
                <w:rFonts w:cs="Arial"/>
                <w:b/>
                <w:szCs w:val="24"/>
                <w:u w:val="single"/>
              </w:rPr>
              <w:t xml:space="preserve">Target Payment </w:t>
            </w:r>
            <w:r w:rsidR="007D40C1">
              <w:rPr>
                <w:rFonts w:cs="Arial"/>
                <w:b/>
                <w:szCs w:val="24"/>
                <w:u w:val="single"/>
              </w:rPr>
              <w:t xml:space="preserve">per </w:t>
            </w:r>
            <w:r w:rsidR="00CF3963" w:rsidRPr="005931C4">
              <w:rPr>
                <w:rFonts w:cs="Arial"/>
                <w:b/>
                <w:szCs w:val="24"/>
                <w:u w:val="single"/>
              </w:rPr>
              <w:t>Trigger</w:t>
            </w:r>
          </w:p>
          <w:p w14:paraId="725AFAE7" w14:textId="31CD0C5F" w:rsidR="00CF3963" w:rsidRPr="007D40C1" w:rsidRDefault="00CF3963" w:rsidP="005931C4">
            <w:pPr>
              <w:rPr>
                <w:rFonts w:eastAsiaTheme="minorEastAsia" w:cs="Arial"/>
                <w:szCs w:val="24"/>
              </w:rPr>
            </w:pPr>
            <w:r w:rsidRPr="007D40C1">
              <w:rPr>
                <w:rFonts w:eastAsiaTheme="minorEastAsia" w:cs="Arial"/>
                <w:szCs w:val="24"/>
              </w:rPr>
              <w:t xml:space="preserve">The following table sets out the Target payment that is payable on achievement of each of the Payment Triggers. </w:t>
            </w:r>
            <w:r w:rsidR="00923EAB">
              <w:rPr>
                <w:rFonts w:eastAsiaTheme="minorEastAsia" w:cs="Arial"/>
                <w:szCs w:val="24"/>
              </w:rPr>
              <w:t xml:space="preserve"> </w:t>
            </w:r>
          </w:p>
          <w:p w14:paraId="1FB02987" w14:textId="77777777" w:rsidR="00315F37" w:rsidRPr="001F6AA3" w:rsidRDefault="00315F37" w:rsidP="005931C4">
            <w:pPr>
              <w:rPr>
                <w:rFonts w:cs="Arial"/>
                <w:b/>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976"/>
              <w:gridCol w:w="2694"/>
            </w:tblGrid>
            <w:tr w:rsidR="004F4999" w:rsidRPr="00C0263E" w14:paraId="73ED7772" w14:textId="77777777" w:rsidTr="00DB50C7">
              <w:tc>
                <w:tcPr>
                  <w:tcW w:w="3046" w:type="dxa"/>
                  <w:tcBorders>
                    <w:top w:val="single" w:sz="4" w:space="0" w:color="auto"/>
                    <w:left w:val="single" w:sz="4" w:space="0" w:color="auto"/>
                    <w:bottom w:val="single" w:sz="4" w:space="0" w:color="auto"/>
                    <w:right w:val="single" w:sz="4" w:space="0" w:color="auto"/>
                  </w:tcBorders>
                  <w:shd w:val="clear" w:color="auto" w:fill="F2F2F2"/>
                </w:tcPr>
                <w:p w14:paraId="4435DA43" w14:textId="77777777" w:rsidR="004F4999" w:rsidRPr="00C0263E" w:rsidRDefault="004F4999" w:rsidP="00E17A0D">
                  <w:pPr>
                    <w:spacing w:before="40" w:after="40"/>
                    <w:rPr>
                      <w:rFonts w:cs="Arial"/>
                      <w:b/>
                      <w:szCs w:val="24"/>
                    </w:rPr>
                  </w:pPr>
                  <w:r>
                    <w:rPr>
                      <w:rFonts w:cs="Arial"/>
                      <w:b/>
                      <w:szCs w:val="24"/>
                    </w:rPr>
                    <w:lastRenderedPageBreak/>
                    <w:t>Target Payment per Trigger</w:t>
                  </w:r>
                </w:p>
              </w:tc>
              <w:tc>
                <w:tcPr>
                  <w:tcW w:w="29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031B59" w14:textId="77777777" w:rsidR="004F4999" w:rsidRPr="00EC3C9D" w:rsidRDefault="004F4999" w:rsidP="00E17A0D">
                  <w:pPr>
                    <w:spacing w:before="40" w:after="40"/>
                    <w:rPr>
                      <w:rFonts w:cs="Arial"/>
                      <w:b/>
                      <w:szCs w:val="24"/>
                    </w:rPr>
                  </w:pPr>
                  <w:r>
                    <w:rPr>
                      <w:rFonts w:cs="Arial"/>
                      <w:b/>
                      <w:szCs w:val="24"/>
                    </w:rPr>
                    <w:t>First Year of indicator</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D0B75" w14:textId="77777777" w:rsidR="004F4999" w:rsidRPr="00EC3C9D" w:rsidRDefault="004F4999" w:rsidP="00E17A0D">
                  <w:pPr>
                    <w:spacing w:before="40" w:after="40"/>
                    <w:rPr>
                      <w:rFonts w:cs="Arial"/>
                      <w:b/>
                      <w:szCs w:val="24"/>
                    </w:rPr>
                  </w:pPr>
                  <w:r>
                    <w:rPr>
                      <w:rFonts w:cs="Arial"/>
                      <w:b/>
                      <w:szCs w:val="24"/>
                    </w:rPr>
                    <w:t>Second Year</w:t>
                  </w:r>
                </w:p>
              </w:tc>
            </w:tr>
            <w:tr w:rsidR="005975BA" w:rsidRPr="00C0263E" w14:paraId="6FECA727" w14:textId="77777777" w:rsidTr="00DB50C7">
              <w:trPr>
                <w:trHeight w:val="361"/>
              </w:trPr>
              <w:tc>
                <w:tcPr>
                  <w:tcW w:w="3046" w:type="dxa"/>
                  <w:tcBorders>
                    <w:top w:val="single" w:sz="4" w:space="0" w:color="auto"/>
                    <w:left w:val="single" w:sz="4" w:space="0" w:color="auto"/>
                    <w:bottom w:val="single" w:sz="4" w:space="0" w:color="auto"/>
                    <w:right w:val="single" w:sz="4" w:space="0" w:color="auto"/>
                  </w:tcBorders>
                  <w:shd w:val="clear" w:color="auto" w:fill="F2F2F2"/>
                  <w:hideMark/>
                </w:tcPr>
                <w:p w14:paraId="780C387D" w14:textId="210F6EAB" w:rsidR="005975BA" w:rsidRPr="00C0263E" w:rsidRDefault="005975BA" w:rsidP="005975BA">
                  <w:pPr>
                    <w:spacing w:before="40" w:after="40"/>
                    <w:rPr>
                      <w:rFonts w:cs="Arial"/>
                      <w:b/>
                      <w:szCs w:val="24"/>
                    </w:rPr>
                  </w:pPr>
                  <w:r>
                    <w:rPr>
                      <w:rFonts w:cs="Arial"/>
                      <w:b/>
                      <w:szCs w:val="24"/>
                    </w:rPr>
                    <w:t>Trigger 1</w:t>
                  </w:r>
                  <w:r w:rsidR="00DB50C7">
                    <w:rPr>
                      <w:rFonts w:cs="Arial"/>
                      <w:b/>
                      <w:szCs w:val="24"/>
                    </w:rPr>
                    <w:t xml:space="preserve"> (Q1 and Q2)</w:t>
                  </w:r>
                </w:p>
              </w:tc>
              <w:tc>
                <w:tcPr>
                  <w:tcW w:w="2976" w:type="dxa"/>
                  <w:tcBorders>
                    <w:top w:val="single" w:sz="4" w:space="0" w:color="auto"/>
                    <w:left w:val="single" w:sz="4" w:space="0" w:color="auto"/>
                    <w:bottom w:val="single" w:sz="4" w:space="0" w:color="auto"/>
                    <w:right w:val="single" w:sz="4" w:space="0" w:color="auto"/>
                  </w:tcBorders>
                </w:tcPr>
                <w:p w14:paraId="07DFF8CB" w14:textId="3B1B58ED" w:rsidR="005975BA" w:rsidRPr="00DB50C7" w:rsidRDefault="00DB50C7" w:rsidP="00DB50C7">
                  <w:pPr>
                    <w:spacing w:before="40" w:after="40"/>
                    <w:rPr>
                      <w:rFonts w:cs="Arial"/>
                      <w:szCs w:val="24"/>
                    </w:rPr>
                  </w:pPr>
                  <w:r>
                    <w:rPr>
                      <w:rFonts w:cs="Arial"/>
                      <w:szCs w:val="24"/>
                    </w:rPr>
                    <w:t>20% of scheme value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582E15" w14:textId="4632D8AF" w:rsidR="005975BA" w:rsidRPr="00C0263E" w:rsidRDefault="00B9509C" w:rsidP="005975BA">
                  <w:pPr>
                    <w:spacing w:before="40" w:after="40"/>
                    <w:rPr>
                      <w:rFonts w:cs="Arial"/>
                      <w:szCs w:val="24"/>
                    </w:rPr>
                  </w:pPr>
                  <w:r>
                    <w:rPr>
                      <w:rFonts w:cs="Arial"/>
                      <w:szCs w:val="24"/>
                    </w:rPr>
                    <w:t>50%</w:t>
                  </w:r>
                </w:p>
              </w:tc>
            </w:tr>
            <w:tr w:rsidR="005975BA" w:rsidRPr="00C0263E" w14:paraId="64DD783A" w14:textId="77777777" w:rsidTr="00DB50C7">
              <w:trPr>
                <w:trHeight w:val="409"/>
              </w:trPr>
              <w:tc>
                <w:tcPr>
                  <w:tcW w:w="3046" w:type="dxa"/>
                  <w:tcBorders>
                    <w:top w:val="single" w:sz="4" w:space="0" w:color="auto"/>
                    <w:left w:val="single" w:sz="4" w:space="0" w:color="auto"/>
                    <w:bottom w:val="single" w:sz="4" w:space="0" w:color="auto"/>
                    <w:right w:val="single" w:sz="4" w:space="0" w:color="auto"/>
                  </w:tcBorders>
                  <w:shd w:val="clear" w:color="auto" w:fill="F2F2F2"/>
                  <w:hideMark/>
                </w:tcPr>
                <w:p w14:paraId="64D586F7" w14:textId="7F308A71" w:rsidR="005975BA" w:rsidRPr="00C0263E" w:rsidRDefault="005975BA" w:rsidP="005975BA">
                  <w:pPr>
                    <w:spacing w:before="40" w:after="40"/>
                    <w:rPr>
                      <w:rFonts w:cs="Arial"/>
                      <w:b/>
                      <w:szCs w:val="24"/>
                    </w:rPr>
                  </w:pPr>
                  <w:r>
                    <w:rPr>
                      <w:rFonts w:cs="Arial"/>
                      <w:b/>
                      <w:szCs w:val="24"/>
                    </w:rPr>
                    <w:t>Trigger 2</w:t>
                  </w:r>
                  <w:r w:rsidR="00DB50C7">
                    <w:rPr>
                      <w:rFonts w:cs="Arial"/>
                      <w:b/>
                      <w:szCs w:val="24"/>
                    </w:rPr>
                    <w:t xml:space="preserve"> (Q3 and Q4)</w:t>
                  </w:r>
                </w:p>
              </w:tc>
              <w:tc>
                <w:tcPr>
                  <w:tcW w:w="2976" w:type="dxa"/>
                  <w:tcBorders>
                    <w:top w:val="single" w:sz="4" w:space="0" w:color="auto"/>
                    <w:left w:val="single" w:sz="4" w:space="0" w:color="auto"/>
                    <w:bottom w:val="single" w:sz="4" w:space="0" w:color="auto"/>
                    <w:right w:val="single" w:sz="4" w:space="0" w:color="auto"/>
                  </w:tcBorders>
                </w:tcPr>
                <w:p w14:paraId="6EA79F0C" w14:textId="0707F995" w:rsidR="005975BA" w:rsidRPr="00C0263E" w:rsidRDefault="00DB50C7" w:rsidP="005975BA">
                  <w:pPr>
                    <w:spacing w:before="40" w:after="40"/>
                    <w:rPr>
                      <w:rFonts w:cs="Arial"/>
                      <w:szCs w:val="24"/>
                    </w:rPr>
                  </w:pPr>
                  <w:r>
                    <w:rPr>
                      <w:rFonts w:cs="Arial"/>
                      <w:szCs w:val="24"/>
                    </w:rPr>
                    <w:t>80% of scheme value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8D9016" w14:textId="1AA985BE" w:rsidR="005975BA" w:rsidRPr="00C0263E" w:rsidRDefault="00B9509C" w:rsidP="005975BA">
                  <w:pPr>
                    <w:spacing w:before="40" w:after="40"/>
                    <w:rPr>
                      <w:rFonts w:cs="Arial"/>
                      <w:szCs w:val="24"/>
                    </w:rPr>
                  </w:pPr>
                  <w:r>
                    <w:rPr>
                      <w:rFonts w:cs="Arial"/>
                      <w:szCs w:val="24"/>
                    </w:rPr>
                    <w:t>50%</w:t>
                  </w:r>
                </w:p>
              </w:tc>
            </w:tr>
            <w:tr w:rsidR="005975BA" w:rsidRPr="00C0263E" w14:paraId="0FA1DE6E" w14:textId="77777777" w:rsidTr="00DB50C7">
              <w:trPr>
                <w:trHeight w:val="619"/>
              </w:trPr>
              <w:tc>
                <w:tcPr>
                  <w:tcW w:w="3046" w:type="dxa"/>
                  <w:tcBorders>
                    <w:top w:val="single" w:sz="4" w:space="0" w:color="auto"/>
                    <w:left w:val="single" w:sz="4" w:space="0" w:color="auto"/>
                    <w:right w:val="single" w:sz="4" w:space="0" w:color="auto"/>
                  </w:tcBorders>
                  <w:shd w:val="clear" w:color="auto" w:fill="F2F2F2"/>
                </w:tcPr>
                <w:p w14:paraId="4497E4E5" w14:textId="77777777" w:rsidR="005975BA" w:rsidRDefault="005975BA" w:rsidP="005975BA">
                  <w:pPr>
                    <w:spacing w:before="40" w:after="40"/>
                    <w:rPr>
                      <w:rFonts w:cs="Arial"/>
                      <w:b/>
                      <w:szCs w:val="24"/>
                    </w:rPr>
                  </w:pPr>
                  <w:r>
                    <w:rPr>
                      <w:rFonts w:cs="Arial"/>
                      <w:b/>
                      <w:szCs w:val="24"/>
                    </w:rPr>
                    <w:t>TOTAL</w:t>
                  </w:r>
                </w:p>
              </w:tc>
              <w:tc>
                <w:tcPr>
                  <w:tcW w:w="2976" w:type="dxa"/>
                  <w:tcBorders>
                    <w:top w:val="single" w:sz="4" w:space="0" w:color="auto"/>
                    <w:left w:val="single" w:sz="4" w:space="0" w:color="auto"/>
                    <w:right w:val="single" w:sz="4" w:space="0" w:color="auto"/>
                  </w:tcBorders>
                </w:tcPr>
                <w:p w14:paraId="1234EE66" w14:textId="77777777" w:rsidR="005975BA" w:rsidRPr="00C0263E" w:rsidRDefault="005975BA" w:rsidP="005975BA">
                  <w:pPr>
                    <w:spacing w:before="40" w:after="40"/>
                    <w:rPr>
                      <w:rFonts w:cs="Arial"/>
                      <w:szCs w:val="24"/>
                    </w:rPr>
                  </w:pPr>
                  <w:r>
                    <w:rPr>
                      <w:rFonts w:cs="Arial"/>
                      <w:szCs w:val="24"/>
                    </w:rPr>
                    <w:t>100%</w:t>
                  </w:r>
                </w:p>
              </w:tc>
              <w:tc>
                <w:tcPr>
                  <w:tcW w:w="2694" w:type="dxa"/>
                  <w:tcBorders>
                    <w:top w:val="single" w:sz="4" w:space="0" w:color="auto"/>
                    <w:left w:val="single" w:sz="4" w:space="0" w:color="auto"/>
                    <w:right w:val="single" w:sz="4" w:space="0" w:color="auto"/>
                  </w:tcBorders>
                  <w:shd w:val="clear" w:color="auto" w:fill="auto"/>
                </w:tcPr>
                <w:p w14:paraId="13AA844B" w14:textId="77777777" w:rsidR="005975BA" w:rsidRPr="00C0263E" w:rsidRDefault="005975BA" w:rsidP="005975BA">
                  <w:pPr>
                    <w:spacing w:before="40" w:after="40"/>
                    <w:rPr>
                      <w:rFonts w:cs="Arial"/>
                      <w:szCs w:val="24"/>
                    </w:rPr>
                  </w:pPr>
                  <w:r>
                    <w:rPr>
                      <w:rFonts w:cs="Arial"/>
                      <w:szCs w:val="24"/>
                    </w:rPr>
                    <w:t>100%</w:t>
                  </w:r>
                </w:p>
              </w:tc>
            </w:tr>
          </w:tbl>
          <w:p w14:paraId="4FDEE9BE" w14:textId="77777777" w:rsidR="00CF3963" w:rsidRDefault="00CF3963" w:rsidP="005931C4">
            <w:pPr>
              <w:rPr>
                <w:rFonts w:cs="Arial"/>
                <w:szCs w:val="24"/>
              </w:rPr>
            </w:pPr>
          </w:p>
          <w:p w14:paraId="35B9F850" w14:textId="77777777" w:rsidR="00CF3963" w:rsidRDefault="00CF3963" w:rsidP="00C30831">
            <w:pPr>
              <w:rPr>
                <w:rFonts w:eastAsiaTheme="minorEastAsia" w:cs="Arial"/>
                <w:szCs w:val="24"/>
              </w:rPr>
            </w:pPr>
          </w:p>
        </w:tc>
      </w:tr>
      <w:tr w:rsidR="00CF3963" w:rsidRPr="000412A1" w14:paraId="3B8CC326" w14:textId="77777777" w:rsidTr="00451775">
        <w:trPr>
          <w:trHeight w:val="723"/>
        </w:trPr>
        <w:tc>
          <w:tcPr>
            <w:tcW w:w="5000" w:type="pct"/>
            <w:gridSpan w:val="5"/>
          </w:tcPr>
          <w:p w14:paraId="255FCDBD" w14:textId="77777777" w:rsidR="00CF3963" w:rsidRPr="00315F8B" w:rsidRDefault="00CF3963" w:rsidP="005931C4">
            <w:pPr>
              <w:rPr>
                <w:rFonts w:eastAsiaTheme="minorEastAsia" w:cs="Arial"/>
                <w:i/>
                <w:szCs w:val="24"/>
              </w:rPr>
            </w:pPr>
          </w:p>
          <w:p w14:paraId="67649C22" w14:textId="77777777" w:rsidR="00CF3963" w:rsidRPr="00315F8B" w:rsidRDefault="00CF3963" w:rsidP="005931C4">
            <w:pPr>
              <w:rPr>
                <w:rFonts w:cs="Arial"/>
                <w:b/>
                <w:color w:val="000000"/>
                <w:szCs w:val="24"/>
                <w:u w:val="single"/>
              </w:rPr>
            </w:pPr>
            <w:r w:rsidRPr="00315F8B">
              <w:rPr>
                <w:rFonts w:cs="Arial"/>
                <w:b/>
                <w:color w:val="000000"/>
                <w:szCs w:val="24"/>
                <w:u w:val="single"/>
              </w:rPr>
              <w:t>Partial achievement rules</w:t>
            </w:r>
          </w:p>
          <w:p w14:paraId="19C6A157" w14:textId="77777777" w:rsidR="00315F8B" w:rsidRPr="00315F8B" w:rsidRDefault="00315F8B" w:rsidP="005931C4">
            <w:pPr>
              <w:rPr>
                <w:rFonts w:eastAsiaTheme="minorEastAsia" w:cs="Arial"/>
                <w:szCs w:val="24"/>
                <w:u w:val="single"/>
              </w:rPr>
            </w:pPr>
          </w:p>
          <w:p w14:paraId="74284A0A" w14:textId="77777777" w:rsidR="00CF3963" w:rsidRPr="00315F37" w:rsidRDefault="00315F37" w:rsidP="005931C4">
            <w:pPr>
              <w:rPr>
                <w:rFonts w:eastAsiaTheme="minorEastAsia" w:cs="Arial"/>
                <w:szCs w:val="24"/>
              </w:rPr>
            </w:pPr>
            <w:r w:rsidRPr="00315F37">
              <w:rPr>
                <w:rFonts w:eastAsiaTheme="minorEastAsia" w:cs="Arial"/>
                <w:szCs w:val="24"/>
              </w:rPr>
              <w:t>Not applicable</w:t>
            </w:r>
          </w:p>
          <w:p w14:paraId="48AD4DC1" w14:textId="77777777" w:rsidR="00C5784B" w:rsidRPr="00315F37" w:rsidRDefault="00C5784B" w:rsidP="00315F37">
            <w:pPr>
              <w:ind w:left="360"/>
              <w:rPr>
                <w:rFonts w:cs="Arial"/>
                <w:color w:val="000000"/>
                <w:szCs w:val="24"/>
              </w:rPr>
            </w:pPr>
          </w:p>
        </w:tc>
      </w:tr>
      <w:tr w:rsidR="00CF3963" w:rsidRPr="000412A1" w14:paraId="00E921BA" w14:textId="77777777" w:rsidTr="00451775">
        <w:tc>
          <w:tcPr>
            <w:tcW w:w="5000" w:type="pct"/>
            <w:gridSpan w:val="5"/>
            <w:shd w:val="clear" w:color="auto" w:fill="auto"/>
          </w:tcPr>
          <w:p w14:paraId="22276113" w14:textId="77777777" w:rsidR="00CF3963" w:rsidRDefault="00CF3963" w:rsidP="0084461B">
            <w:pPr>
              <w:rPr>
                <w:rFonts w:cs="Arial"/>
                <w:b/>
                <w:color w:val="000000"/>
                <w:szCs w:val="24"/>
                <w:u w:val="single"/>
              </w:rPr>
            </w:pPr>
            <w:r w:rsidRPr="00CF3963">
              <w:rPr>
                <w:rFonts w:cs="Arial"/>
                <w:b/>
                <w:color w:val="000000"/>
                <w:szCs w:val="24"/>
                <w:u w:val="single"/>
              </w:rPr>
              <w:t>Definitions</w:t>
            </w:r>
          </w:p>
          <w:p w14:paraId="5BC3C854" w14:textId="77777777" w:rsidR="00CF3963" w:rsidRPr="00CF3963" w:rsidRDefault="00CF3963" w:rsidP="00C30831">
            <w:pPr>
              <w:rPr>
                <w:rFonts w:eastAsiaTheme="minorEastAsia" w:cs="Arial"/>
                <w:i/>
                <w:szCs w:val="24"/>
                <w:u w:val="single"/>
              </w:rPr>
            </w:pPr>
          </w:p>
        </w:tc>
      </w:tr>
      <w:tr w:rsidR="00CF3963" w:rsidRPr="00CF3963" w14:paraId="6F1A8FA8" w14:textId="77777777" w:rsidTr="00451775">
        <w:tc>
          <w:tcPr>
            <w:tcW w:w="5000" w:type="pct"/>
            <w:gridSpan w:val="5"/>
            <w:shd w:val="clear" w:color="auto" w:fill="BFBFBF" w:themeFill="background1" w:themeFillShade="BF"/>
          </w:tcPr>
          <w:p w14:paraId="0ABF7C91"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CF3963" w:rsidRPr="000412A1" w14:paraId="556BB49B" w14:textId="77777777" w:rsidTr="00451775">
        <w:tc>
          <w:tcPr>
            <w:tcW w:w="5000" w:type="pct"/>
            <w:gridSpan w:val="5"/>
            <w:shd w:val="clear" w:color="auto" w:fill="auto"/>
          </w:tcPr>
          <w:p w14:paraId="13F39835" w14:textId="77777777" w:rsidR="0074325B" w:rsidRDefault="0074325B" w:rsidP="0074325B">
            <w:pPr>
              <w:spacing w:before="40" w:after="40"/>
              <w:rPr>
                <w:rFonts w:cs="Arial"/>
                <w:szCs w:val="24"/>
              </w:rPr>
            </w:pPr>
            <w:r>
              <w:rPr>
                <w:rFonts w:cs="Arial"/>
                <w:szCs w:val="24"/>
              </w:rPr>
              <w:t>For each Quarter</w:t>
            </w:r>
          </w:p>
          <w:p w14:paraId="0322F862" w14:textId="57486FB2" w:rsidR="0074325B" w:rsidRDefault="0074325B" w:rsidP="0074325B">
            <w:pPr>
              <w:pStyle w:val="ListParagraph"/>
              <w:numPr>
                <w:ilvl w:val="0"/>
                <w:numId w:val="5"/>
              </w:numPr>
              <w:spacing w:before="40" w:after="40"/>
              <w:rPr>
                <w:rFonts w:cs="Arial"/>
                <w:szCs w:val="24"/>
              </w:rPr>
            </w:pPr>
            <w:r>
              <w:rPr>
                <w:rFonts w:cs="Arial"/>
                <w:szCs w:val="24"/>
              </w:rPr>
              <w:t xml:space="preserve">Patient scores on Simple Physical Activity Questionnaire (SPAQ), BMI, </w:t>
            </w:r>
            <w:r w:rsidR="006E0E85">
              <w:rPr>
                <w:rFonts w:cs="Arial"/>
                <w:szCs w:val="24"/>
              </w:rPr>
              <w:t xml:space="preserve">and </w:t>
            </w:r>
            <w:r>
              <w:rPr>
                <w:rFonts w:cs="Arial"/>
                <w:szCs w:val="24"/>
              </w:rPr>
              <w:t xml:space="preserve">Warwick Edinburgh </w:t>
            </w:r>
            <w:r w:rsidRPr="00C12470">
              <w:rPr>
                <w:rFonts w:cs="Arial"/>
                <w:szCs w:val="24"/>
              </w:rPr>
              <w:t>M</w:t>
            </w:r>
            <w:r>
              <w:rPr>
                <w:rFonts w:cs="Arial"/>
                <w:szCs w:val="24"/>
              </w:rPr>
              <w:t xml:space="preserve">ental </w:t>
            </w:r>
            <w:r w:rsidRPr="00C12470">
              <w:rPr>
                <w:rFonts w:cs="Arial"/>
                <w:szCs w:val="24"/>
              </w:rPr>
              <w:t>W</w:t>
            </w:r>
            <w:r>
              <w:rPr>
                <w:rFonts w:cs="Arial"/>
                <w:szCs w:val="24"/>
              </w:rPr>
              <w:t xml:space="preserve">ellbeing </w:t>
            </w:r>
            <w:r w:rsidRPr="00C12470">
              <w:rPr>
                <w:rFonts w:cs="Arial"/>
                <w:szCs w:val="24"/>
              </w:rPr>
              <w:t>S</w:t>
            </w:r>
            <w:r>
              <w:rPr>
                <w:rFonts w:cs="Arial"/>
                <w:szCs w:val="24"/>
              </w:rPr>
              <w:t>core (WEMWS) showing changes over time</w:t>
            </w:r>
          </w:p>
          <w:p w14:paraId="6F9F73E2" w14:textId="77777777" w:rsidR="0074325B" w:rsidRDefault="0074325B" w:rsidP="0074325B">
            <w:pPr>
              <w:pStyle w:val="ListParagraph"/>
              <w:numPr>
                <w:ilvl w:val="0"/>
                <w:numId w:val="5"/>
              </w:numPr>
              <w:spacing w:before="40" w:after="40"/>
              <w:rPr>
                <w:rFonts w:cs="Arial"/>
                <w:szCs w:val="24"/>
              </w:rPr>
            </w:pPr>
            <w:r>
              <w:rPr>
                <w:rFonts w:cs="Arial"/>
                <w:szCs w:val="24"/>
              </w:rPr>
              <w:t>Number of eligible patients receiving lifestyle intervention programme</w:t>
            </w:r>
          </w:p>
          <w:p w14:paraId="02717394" w14:textId="532D8C5B" w:rsidR="00467839" w:rsidRPr="00F47E68" w:rsidRDefault="0074325B" w:rsidP="0074325B">
            <w:pPr>
              <w:pStyle w:val="ListParagraph"/>
              <w:spacing w:before="40" w:after="40"/>
              <w:rPr>
                <w:rFonts w:cs="Arial"/>
                <w:szCs w:val="24"/>
              </w:rPr>
            </w:pPr>
            <w:r>
              <w:rPr>
                <w:rFonts w:cs="Arial"/>
                <w:szCs w:val="24"/>
              </w:rPr>
              <w:t>Reference information included in the Appendix</w:t>
            </w:r>
          </w:p>
        </w:tc>
      </w:tr>
      <w:tr w:rsidR="009D54C2" w:rsidRPr="000412A1" w14:paraId="33EED0B2" w14:textId="77777777" w:rsidTr="00451775">
        <w:tc>
          <w:tcPr>
            <w:tcW w:w="5000" w:type="pct"/>
            <w:gridSpan w:val="5"/>
            <w:shd w:val="clear" w:color="auto" w:fill="D9D9D9" w:themeFill="background1" w:themeFillShade="D9"/>
          </w:tcPr>
          <w:p w14:paraId="1FFC7A5C" w14:textId="77777777" w:rsidR="009D54C2" w:rsidRPr="009D54C2" w:rsidRDefault="009D54C2" w:rsidP="005E07A9">
            <w:pPr>
              <w:rPr>
                <w:rFonts w:cs="Arial"/>
                <w:b/>
                <w:szCs w:val="24"/>
              </w:rPr>
            </w:pPr>
            <w:r w:rsidRPr="009D54C2">
              <w:rPr>
                <w:rFonts w:cs="Arial"/>
                <w:b/>
                <w:szCs w:val="24"/>
              </w:rPr>
              <w:t>Reporting of Achievement against Triggers:</w:t>
            </w:r>
          </w:p>
        </w:tc>
      </w:tr>
      <w:tr w:rsidR="009D54C2" w:rsidRPr="000412A1" w14:paraId="1A60D333" w14:textId="77777777" w:rsidTr="00451775">
        <w:tc>
          <w:tcPr>
            <w:tcW w:w="5000" w:type="pct"/>
            <w:gridSpan w:val="5"/>
            <w:shd w:val="clear" w:color="auto" w:fill="auto"/>
          </w:tcPr>
          <w:p w14:paraId="6BC91C1F" w14:textId="77777777" w:rsidR="009D54C2" w:rsidRDefault="009D54C2" w:rsidP="0084461B">
            <w:pPr>
              <w:rPr>
                <w:rFonts w:eastAsiaTheme="minorEastAsia" w:cs="Arial"/>
                <w:b/>
                <w:szCs w:val="24"/>
              </w:rPr>
            </w:pPr>
          </w:p>
          <w:p w14:paraId="1D48BAD7" w14:textId="77777777" w:rsidR="007D40C1" w:rsidRPr="007D40C1" w:rsidRDefault="007D40C1" w:rsidP="0084461B">
            <w:pPr>
              <w:rPr>
                <w:rFonts w:eastAsiaTheme="minorEastAsia" w:cs="Arial"/>
                <w:szCs w:val="24"/>
              </w:rPr>
            </w:pPr>
            <w:r w:rsidRPr="007D40C1">
              <w:rPr>
                <w:rFonts w:eastAsiaTheme="minorEastAsia" w:cs="Arial"/>
                <w:szCs w:val="24"/>
              </w:rPr>
              <w:t>Quarterly report to commissioners as part of contract performance monitoring</w:t>
            </w:r>
          </w:p>
          <w:p w14:paraId="0A347B0A" w14:textId="77777777" w:rsidR="007D40C1" w:rsidRPr="009D54C2" w:rsidRDefault="007D40C1" w:rsidP="0084461B">
            <w:pPr>
              <w:rPr>
                <w:rFonts w:eastAsiaTheme="minorEastAsia" w:cs="Arial"/>
                <w:b/>
                <w:szCs w:val="24"/>
              </w:rPr>
            </w:pPr>
          </w:p>
        </w:tc>
      </w:tr>
      <w:tr w:rsidR="00CF3963" w:rsidRPr="000412A1" w14:paraId="18FC709E" w14:textId="77777777" w:rsidTr="00451775">
        <w:tc>
          <w:tcPr>
            <w:tcW w:w="5000" w:type="pct"/>
            <w:gridSpan w:val="5"/>
            <w:shd w:val="clear" w:color="auto" w:fill="D9D9D9" w:themeFill="background1" w:themeFillShade="D9"/>
          </w:tcPr>
          <w:p w14:paraId="0F931795" w14:textId="77777777" w:rsidR="00CF3963" w:rsidRPr="009D54C2" w:rsidRDefault="00A536ED" w:rsidP="0084461B">
            <w:pPr>
              <w:rPr>
                <w:rFonts w:eastAsiaTheme="minorEastAsia" w:cs="Arial"/>
                <w:b/>
                <w:szCs w:val="24"/>
              </w:rPr>
            </w:pPr>
            <w:r w:rsidRPr="009D54C2">
              <w:rPr>
                <w:rFonts w:eastAsiaTheme="minorEastAsia" w:cs="Arial"/>
                <w:b/>
                <w:szCs w:val="24"/>
              </w:rPr>
              <w:t>Information for Benchmarking</w:t>
            </w:r>
            <w:r w:rsidR="009D54C2" w:rsidRPr="009D54C2">
              <w:rPr>
                <w:rFonts w:eastAsiaTheme="minorEastAsia" w:cs="Arial"/>
                <w:b/>
                <w:szCs w:val="24"/>
              </w:rPr>
              <w:t>:</w:t>
            </w:r>
          </w:p>
        </w:tc>
      </w:tr>
      <w:tr w:rsidR="009D54C2" w:rsidRPr="000412A1" w14:paraId="6EDEC120" w14:textId="77777777" w:rsidTr="00451775">
        <w:tc>
          <w:tcPr>
            <w:tcW w:w="5000" w:type="pct"/>
            <w:gridSpan w:val="5"/>
          </w:tcPr>
          <w:p w14:paraId="27792DCC" w14:textId="77777777" w:rsidR="009D54C2" w:rsidRPr="007D40C1" w:rsidRDefault="007D40C1" w:rsidP="00CF3963">
            <w:pPr>
              <w:spacing w:before="40" w:after="40"/>
              <w:rPr>
                <w:rFonts w:cs="Arial"/>
                <w:szCs w:val="24"/>
              </w:rPr>
            </w:pPr>
            <w:r w:rsidRPr="007D40C1">
              <w:rPr>
                <w:rFonts w:cs="Arial"/>
                <w:szCs w:val="24"/>
              </w:rPr>
              <w:t>See above for quarterly requirement metrics</w:t>
            </w:r>
          </w:p>
        </w:tc>
      </w:tr>
      <w:tr w:rsidR="00CF3963" w:rsidRPr="000412A1" w14:paraId="126A7E52" w14:textId="77777777" w:rsidTr="00451775">
        <w:tc>
          <w:tcPr>
            <w:tcW w:w="5000" w:type="pct"/>
            <w:gridSpan w:val="5"/>
            <w:shd w:val="clear" w:color="auto" w:fill="D9D9D9" w:themeFill="background1" w:themeFillShade="D9"/>
          </w:tcPr>
          <w:p w14:paraId="72A3D68B" w14:textId="77777777"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14:paraId="2F9823D6" w14:textId="77777777" w:rsidTr="00451775">
        <w:tc>
          <w:tcPr>
            <w:tcW w:w="5000" w:type="pct"/>
            <w:gridSpan w:val="5"/>
          </w:tcPr>
          <w:p w14:paraId="1A7CD1F4" w14:textId="77777777" w:rsidR="009D54C2" w:rsidRPr="00315F37" w:rsidRDefault="00315F37" w:rsidP="0084461B">
            <w:pPr>
              <w:rPr>
                <w:rFonts w:cs="Arial"/>
                <w:color w:val="000000"/>
                <w:szCs w:val="24"/>
              </w:rPr>
            </w:pPr>
            <w:r w:rsidRPr="00315F37">
              <w:rPr>
                <w:rFonts w:cs="Arial"/>
                <w:color w:val="000000"/>
                <w:szCs w:val="24"/>
              </w:rPr>
              <w:t xml:space="preserve">No patient identifiable information </w:t>
            </w:r>
            <w:r w:rsidR="007D40C1">
              <w:rPr>
                <w:rFonts w:cs="Arial"/>
                <w:color w:val="000000"/>
                <w:szCs w:val="24"/>
              </w:rPr>
              <w:t>to be used in reporting information</w:t>
            </w:r>
          </w:p>
          <w:p w14:paraId="418F4007" w14:textId="77777777" w:rsidR="00315F37" w:rsidRPr="009D54C2" w:rsidRDefault="00315F37" w:rsidP="0084461B">
            <w:pPr>
              <w:rPr>
                <w:rFonts w:cs="Arial"/>
                <w:b/>
                <w:color w:val="000000"/>
                <w:szCs w:val="24"/>
              </w:rPr>
            </w:pPr>
          </w:p>
        </w:tc>
      </w:tr>
      <w:tr w:rsidR="00CF3963" w:rsidRPr="000412A1" w14:paraId="7064F989" w14:textId="77777777" w:rsidTr="00451775">
        <w:tc>
          <w:tcPr>
            <w:tcW w:w="5000" w:type="pct"/>
            <w:gridSpan w:val="5"/>
            <w:shd w:val="clear" w:color="auto" w:fill="D9D9D9" w:themeFill="background1" w:themeFillShade="D9"/>
          </w:tcPr>
          <w:p w14:paraId="7AA393AB"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72B7DCBF" w14:textId="77777777" w:rsidTr="00451775">
        <w:tc>
          <w:tcPr>
            <w:tcW w:w="5000" w:type="pct"/>
            <w:gridSpan w:val="5"/>
          </w:tcPr>
          <w:p w14:paraId="6CC5E4B1" w14:textId="77777777" w:rsidR="009D54C2" w:rsidRPr="007D40C1" w:rsidRDefault="007D40C1" w:rsidP="0084461B">
            <w:pPr>
              <w:rPr>
                <w:rFonts w:cs="Arial"/>
                <w:color w:val="000000"/>
                <w:szCs w:val="24"/>
              </w:rPr>
            </w:pPr>
            <w:r w:rsidRPr="007D40C1">
              <w:rPr>
                <w:rFonts w:cs="Arial"/>
                <w:color w:val="000000"/>
                <w:szCs w:val="24"/>
              </w:rPr>
              <w:t>None</w:t>
            </w:r>
          </w:p>
          <w:p w14:paraId="7EE3581A" w14:textId="77777777" w:rsidR="007D40C1" w:rsidRPr="00512E30" w:rsidRDefault="007D40C1" w:rsidP="0084461B">
            <w:pPr>
              <w:rPr>
                <w:rFonts w:cs="Arial"/>
                <w:b/>
                <w:color w:val="000000"/>
                <w:szCs w:val="24"/>
                <w:u w:val="single"/>
              </w:rPr>
            </w:pPr>
          </w:p>
        </w:tc>
      </w:tr>
      <w:tr w:rsidR="00CF3963" w:rsidRPr="000412A1" w14:paraId="7775C72B" w14:textId="77777777" w:rsidTr="00451775">
        <w:tc>
          <w:tcPr>
            <w:tcW w:w="5000" w:type="pct"/>
            <w:gridSpan w:val="5"/>
            <w:shd w:val="clear" w:color="auto" w:fill="A6A6A6" w:themeFill="background1" w:themeFillShade="A6"/>
          </w:tcPr>
          <w:p w14:paraId="129C7C9B"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18650B78" w14:textId="77777777" w:rsidR="00CF3963" w:rsidRPr="000412A1" w:rsidRDefault="00CF3963" w:rsidP="0084461B">
            <w:pPr>
              <w:rPr>
                <w:rFonts w:cs="Arial"/>
                <w:color w:val="000000"/>
                <w:szCs w:val="24"/>
              </w:rPr>
            </w:pPr>
          </w:p>
        </w:tc>
      </w:tr>
      <w:tr w:rsidR="00970018" w:rsidRPr="000412A1" w14:paraId="72C39B6B" w14:textId="77777777" w:rsidTr="00451775">
        <w:tc>
          <w:tcPr>
            <w:tcW w:w="5000" w:type="pct"/>
            <w:gridSpan w:val="5"/>
          </w:tcPr>
          <w:p w14:paraId="7C66AEE2" w14:textId="7777777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3CE92D2D" w14:textId="0C1D1951" w:rsidR="00DD3EF8" w:rsidRDefault="00DD3EF8" w:rsidP="00467839"/>
          <w:p w14:paraId="27397EAA" w14:textId="10BDA1C3" w:rsidR="00DD3EF8" w:rsidRDefault="00DD3EF8" w:rsidP="00467839">
            <w:r>
              <w:t>See appendix</w:t>
            </w:r>
          </w:p>
          <w:p w14:paraId="55F360FF" w14:textId="77777777" w:rsidR="00B11C21" w:rsidRDefault="00B11C21" w:rsidP="00467839"/>
          <w:p w14:paraId="1673C7C5" w14:textId="3B3243E7" w:rsidR="00467839" w:rsidRDefault="004263C5" w:rsidP="004263C5">
            <w:pPr>
              <w:rPr>
                <w:rFonts w:cs="Arial"/>
                <w:b/>
                <w:szCs w:val="24"/>
              </w:rPr>
            </w:pPr>
            <w:r>
              <w:br w:type="page"/>
            </w:r>
          </w:p>
        </w:tc>
      </w:tr>
      <w:tr w:rsidR="00234135" w:rsidRPr="000412A1" w14:paraId="7B86D7BC" w14:textId="77777777" w:rsidTr="00451775">
        <w:tc>
          <w:tcPr>
            <w:tcW w:w="5000" w:type="pct"/>
            <w:gridSpan w:val="5"/>
            <w:shd w:val="clear" w:color="auto" w:fill="BFBFBF" w:themeFill="background1" w:themeFillShade="BF"/>
          </w:tcPr>
          <w:p w14:paraId="313FE6D2" w14:textId="77777777"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0503902F" w14:textId="77777777" w:rsidTr="00451775">
        <w:tc>
          <w:tcPr>
            <w:tcW w:w="5000" w:type="pct"/>
            <w:gridSpan w:val="5"/>
            <w:shd w:val="clear" w:color="auto" w:fill="D9D9D9" w:themeFill="background1" w:themeFillShade="D9"/>
          </w:tcPr>
          <w:p w14:paraId="7F0F3224"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20DCE684" w14:textId="77777777" w:rsidTr="00451775">
        <w:tc>
          <w:tcPr>
            <w:tcW w:w="5000" w:type="pct"/>
            <w:gridSpan w:val="5"/>
            <w:shd w:val="clear" w:color="auto" w:fill="auto"/>
          </w:tcPr>
          <w:p w14:paraId="74BF0D59"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60700AF6" w14:textId="77777777" w:rsidR="0026417D" w:rsidRPr="00EB05AD" w:rsidRDefault="0026417D" w:rsidP="0026417D">
            <w:pPr>
              <w:rPr>
                <w:rFonts w:cs="Arial"/>
                <w:szCs w:val="24"/>
              </w:rPr>
            </w:pPr>
          </w:p>
          <w:p w14:paraId="0EEE0B90" w14:textId="77777777" w:rsidR="00400742" w:rsidRPr="00EA3935" w:rsidRDefault="00400742" w:rsidP="00400742">
            <w:pPr>
              <w:rPr>
                <w:rFonts w:eastAsiaTheme="minorHAnsi"/>
              </w:rPr>
            </w:pPr>
            <w:r w:rsidRPr="00EA3935">
              <w:t xml:space="preserve">Current literature indicates that </w:t>
            </w:r>
            <w:r>
              <w:t xml:space="preserve">the lives of </w:t>
            </w:r>
            <w:r w:rsidRPr="00EA3935">
              <w:t>people with severe mental illness</w:t>
            </w:r>
            <w:r>
              <w:t xml:space="preserve"> are 10 to 25 years shorter</w:t>
            </w:r>
            <w:r w:rsidRPr="00EA3935">
              <w:t xml:space="preserve"> than the general population</w:t>
            </w:r>
            <w:r>
              <w:t>.</w:t>
            </w:r>
            <w:r w:rsidRPr="00EA3935">
              <w:t xml:space="preserve"> Obesity is one of the most significant modifiable risk factors for premature mortality and chronic disease in individuals with mental illness (1).</w:t>
            </w:r>
          </w:p>
          <w:p w14:paraId="5D3E3BD9" w14:textId="77777777" w:rsidR="00400742" w:rsidRDefault="00400742" w:rsidP="00400742"/>
          <w:p w14:paraId="378AD7F0" w14:textId="29B4986E" w:rsidR="00400742" w:rsidRDefault="00400742" w:rsidP="00400742">
            <w:r>
              <w:t xml:space="preserve">The 2017 Public Health England report identified the extent of obesity in adult secure inpatient units with rates of up to 80% reported compared to the general population around 60%. The report highlighted concerns regarding the propensity of secure settings to operate an “obesogenic” environment, thereby contributing to a higher likelihood of developing physical comorbidities (2). </w:t>
            </w:r>
          </w:p>
          <w:p w14:paraId="10488137" w14:textId="77777777" w:rsidR="00F30F1C" w:rsidRDefault="00F30F1C" w:rsidP="00400742"/>
          <w:p w14:paraId="02C73BA6" w14:textId="34E46CF3" w:rsidR="00BB37CA" w:rsidRDefault="00BB37CA" w:rsidP="00427AA6">
            <w:bookmarkStart w:id="2" w:name="_Hlk1670886"/>
            <w:r>
              <w:t xml:space="preserve">There is also evidence </w:t>
            </w:r>
            <w:r w:rsidR="00427AA6">
              <w:t>that</w:t>
            </w:r>
            <w:r>
              <w:t xml:space="preserve"> increased physical activity </w:t>
            </w:r>
            <w:r w:rsidR="00427AA6">
              <w:t>is linked to</w:t>
            </w:r>
            <w:r>
              <w:t xml:space="preserve"> reduced duration of </w:t>
            </w:r>
            <w:r w:rsidR="00B53E48">
              <w:t xml:space="preserve">poor </w:t>
            </w:r>
            <w:r w:rsidR="00EA4138">
              <w:t>mental</w:t>
            </w:r>
            <w:r>
              <w:t xml:space="preserve"> </w:t>
            </w:r>
            <w:r w:rsidR="00B53E48">
              <w:t>health</w:t>
            </w:r>
            <w:r>
              <w:t xml:space="preserve">. </w:t>
            </w:r>
            <w:r w:rsidR="00427AA6">
              <w:t xml:space="preserve">One recent study (3) found a relationship between physical activity and the number of days spent admitted to acute inpatient mental health wards in people with severe mental illness based at four acute mental health wards in Oxfordshire, UK. Mean length of stay </w:t>
            </w:r>
            <w:r w:rsidR="00BF681F">
              <w:t xml:space="preserve">(LOS) </w:t>
            </w:r>
            <w:r w:rsidR="00427AA6">
              <w:t>for patients participating in no sessions, one session, two sessions and three sessions of physical activity per week were 127, 83, 32 and 15 respectively.  The difference in LOS fo</w:t>
            </w:r>
            <w:r w:rsidR="00BF681F">
              <w:t>r individuals with no sessions v</w:t>
            </w:r>
            <w:r w:rsidR="00427AA6">
              <w:t>s</w:t>
            </w:r>
            <w:r w:rsidR="00BF681F">
              <w:t>.</w:t>
            </w:r>
            <w:r w:rsidR="00427AA6">
              <w:t xml:space="preserve"> one session per week was 44 days</w:t>
            </w:r>
            <w:r w:rsidR="00BF681F">
              <w:t xml:space="preserve">. </w:t>
            </w:r>
            <w:r w:rsidR="00427AA6">
              <w:t xml:space="preserve">Another recent </w:t>
            </w:r>
            <w:r>
              <w:t>study</w:t>
            </w:r>
            <w:r w:rsidR="00427AA6">
              <w:t xml:space="preserve"> (4) </w:t>
            </w:r>
            <w:r>
              <w:t xml:space="preserve">of 1.2 million people in the USA found that people who exercise report having 1.5 fewer days of poor mental health a month, compared to people who do not exercise. </w:t>
            </w:r>
            <w:r w:rsidR="00427AA6">
              <w:t>B</w:t>
            </w:r>
            <w:r>
              <w:t xml:space="preserve">oth studies are cross-sectional in nature, so do not </w:t>
            </w:r>
            <w:r w:rsidR="00BF681F">
              <w:t>establish causation</w:t>
            </w:r>
            <w:r w:rsidR="00B53E48">
              <w:t xml:space="preserve">, nor do they relate directly to a secure setting; </w:t>
            </w:r>
            <w:r w:rsidR="00427AA6">
              <w:t>however, they</w:t>
            </w:r>
            <w:r>
              <w:t xml:space="preserve"> match the existing generic body of longitudinal research showing that regular physical activity is associated with better mental health.</w:t>
            </w:r>
          </w:p>
          <w:bookmarkEnd w:id="2"/>
          <w:p w14:paraId="76992BA9" w14:textId="77777777" w:rsidR="00427AA6" w:rsidRDefault="00427AA6" w:rsidP="00427AA6"/>
          <w:p w14:paraId="3EAAAFF1" w14:textId="5510AFDC" w:rsidR="00400742" w:rsidRDefault="00400742" w:rsidP="00400742">
            <w:pPr>
              <w:rPr>
                <w:rFonts w:cs="Arial"/>
                <w:szCs w:val="24"/>
              </w:rPr>
            </w:pPr>
            <w:r w:rsidRPr="00BB628D">
              <w:t xml:space="preserve">The </w:t>
            </w:r>
            <w:r>
              <w:t>CQUIN seeks to contribute towards achieving the 5-Year Forward View and Long Term Plan’s (</w:t>
            </w:r>
            <w:hyperlink r:id="rId19" w:history="1">
              <w:r w:rsidRPr="003A3B16">
                <w:rPr>
                  <w:rStyle w:val="Hyperlink"/>
                </w:rPr>
                <w:t>https://www.longtermplan.nhs.uk/</w:t>
              </w:r>
            </w:hyperlink>
            <w:r>
              <w:t xml:space="preserve">) prevention agenda. It is </w:t>
            </w:r>
            <w:r w:rsidRPr="00F04CBD">
              <w:rPr>
                <w:rFonts w:eastAsiaTheme="minorHAnsi"/>
              </w:rPr>
              <w:t>based on a whole system approach to healthy</w:t>
            </w:r>
            <w:r>
              <w:rPr>
                <w:rFonts w:eastAsiaTheme="minorHAnsi"/>
              </w:rPr>
              <w:t xml:space="preserve"> body</w:t>
            </w:r>
            <w:r w:rsidRPr="00F04CBD">
              <w:rPr>
                <w:rFonts w:eastAsiaTheme="minorHAnsi"/>
              </w:rPr>
              <w:t>weight</w:t>
            </w:r>
            <w:r>
              <w:rPr>
                <w:rFonts w:eastAsiaTheme="minorHAnsi"/>
              </w:rPr>
              <w:t xml:space="preserve"> and</w:t>
            </w:r>
            <w:r w:rsidRPr="00F04CBD">
              <w:rPr>
                <w:rFonts w:eastAsiaTheme="minorHAnsi"/>
              </w:rPr>
              <w:t xml:space="preserve"> is an</w:t>
            </w:r>
            <w:r>
              <w:rPr>
                <w:rFonts w:eastAsiaTheme="minorHAnsi"/>
              </w:rPr>
              <w:t xml:space="preserve"> </w:t>
            </w:r>
            <w:r w:rsidRPr="00F04CBD">
              <w:rPr>
                <w:rFonts w:eastAsiaTheme="minorHAnsi"/>
              </w:rPr>
              <w:t>incremental</w:t>
            </w:r>
            <w:r>
              <w:rPr>
                <w:rFonts w:eastAsiaTheme="minorHAnsi"/>
              </w:rPr>
              <w:t>, evolving</w:t>
            </w:r>
            <w:r w:rsidRPr="00F04CBD">
              <w:rPr>
                <w:rFonts w:eastAsiaTheme="minorHAnsi"/>
              </w:rPr>
              <w:t xml:space="preserve"> process intended </w:t>
            </w:r>
            <w:r>
              <w:rPr>
                <w:rFonts w:eastAsiaTheme="minorHAnsi"/>
              </w:rPr>
              <w:t xml:space="preserve">for long term delivery. </w:t>
            </w:r>
            <w:r>
              <w:rPr>
                <w:rFonts w:cs="Arial"/>
                <w:szCs w:val="24"/>
              </w:rPr>
              <w:t>Following the PHE</w:t>
            </w:r>
            <w:r w:rsidRPr="00EC15BD">
              <w:rPr>
                <w:rFonts w:cs="Arial"/>
                <w:szCs w:val="24"/>
              </w:rPr>
              <w:t xml:space="preserve"> report</w:t>
            </w:r>
            <w:r>
              <w:rPr>
                <w:rFonts w:cs="Arial"/>
                <w:szCs w:val="24"/>
              </w:rPr>
              <w:t xml:space="preserve"> into obesity in adult secure services published in 2017, Rethink Mental </w:t>
            </w:r>
            <w:r w:rsidRPr="00EC15BD">
              <w:rPr>
                <w:rFonts w:cs="Arial"/>
                <w:szCs w:val="24"/>
              </w:rPr>
              <w:t xml:space="preserve">Illness facilitated consultations with service users </w:t>
            </w:r>
            <w:r>
              <w:rPr>
                <w:rFonts w:cs="Arial"/>
                <w:szCs w:val="24"/>
              </w:rPr>
              <w:t>in secure services through the regional Recovery and Outcomes G</w:t>
            </w:r>
            <w:r w:rsidRPr="00EC15BD">
              <w:rPr>
                <w:rFonts w:cs="Arial"/>
                <w:szCs w:val="24"/>
              </w:rPr>
              <w:t xml:space="preserve">roups. </w:t>
            </w:r>
            <w:r>
              <w:rPr>
                <w:rFonts w:cs="Arial"/>
                <w:szCs w:val="24"/>
              </w:rPr>
              <w:t>Key messages from this process included the need for culture change</w:t>
            </w:r>
            <w:r w:rsidRPr="00EC15BD">
              <w:rPr>
                <w:rFonts w:cs="Arial"/>
                <w:szCs w:val="24"/>
              </w:rPr>
              <w:t xml:space="preserve"> rather than</w:t>
            </w:r>
            <w:r>
              <w:rPr>
                <w:rFonts w:cs="Arial"/>
                <w:szCs w:val="24"/>
              </w:rPr>
              <w:t xml:space="preserve"> a single discreet intervention</w:t>
            </w:r>
            <w:r w:rsidRPr="00EC15BD">
              <w:rPr>
                <w:rFonts w:cs="Arial"/>
                <w:szCs w:val="24"/>
              </w:rPr>
              <w:t xml:space="preserve"> </w:t>
            </w:r>
            <w:r>
              <w:rPr>
                <w:rFonts w:cs="Arial"/>
                <w:szCs w:val="24"/>
              </w:rPr>
              <w:t xml:space="preserve">and the need for support </w:t>
            </w:r>
            <w:r w:rsidRPr="00EC15BD">
              <w:rPr>
                <w:rFonts w:cs="Arial"/>
                <w:szCs w:val="24"/>
              </w:rPr>
              <w:t>for individuals to make significant lifestyle changes</w:t>
            </w:r>
            <w:r>
              <w:rPr>
                <w:rFonts w:cs="Arial"/>
                <w:szCs w:val="24"/>
              </w:rPr>
              <w:t>.</w:t>
            </w:r>
          </w:p>
          <w:p w14:paraId="53EB342B" w14:textId="77777777" w:rsidR="00152870" w:rsidRDefault="00152870" w:rsidP="00EB05AD">
            <w:pPr>
              <w:rPr>
                <w:rFonts w:cs="Arial"/>
                <w:szCs w:val="24"/>
              </w:rPr>
            </w:pPr>
          </w:p>
          <w:p w14:paraId="72ECB1EC" w14:textId="77777777" w:rsidR="00152870" w:rsidRDefault="00152870" w:rsidP="00152870">
            <w:pPr>
              <w:rPr>
                <w:rFonts w:cs="Arial"/>
                <w:b/>
                <w:szCs w:val="24"/>
              </w:rPr>
            </w:pPr>
            <w:r>
              <w:rPr>
                <w:rFonts w:cs="Arial"/>
                <w:b/>
                <w:szCs w:val="24"/>
              </w:rPr>
              <w:t xml:space="preserve">References: </w:t>
            </w:r>
          </w:p>
          <w:p w14:paraId="7D72A0BE" w14:textId="77777777" w:rsidR="00152870" w:rsidRDefault="00152870" w:rsidP="00152870">
            <w:pPr>
              <w:rPr>
                <w:rFonts w:cs="Arial"/>
                <w:b/>
                <w:szCs w:val="24"/>
              </w:rPr>
            </w:pPr>
          </w:p>
          <w:p w14:paraId="318D9C86" w14:textId="68DDBAC1" w:rsidR="00152870" w:rsidRPr="00A9751D" w:rsidRDefault="00152870" w:rsidP="00152870">
            <w:pPr>
              <w:pStyle w:val="ListParagraph"/>
              <w:numPr>
                <w:ilvl w:val="0"/>
                <w:numId w:val="3"/>
              </w:numPr>
            </w:pPr>
            <w:r w:rsidRPr="00A9751D">
              <w:t xml:space="preserve">Liu NH, Daumit GL, Dua T, Aquila R, Charlson F, Cuijpers P, Druss B, Dudek K, Freeman M, Fujii C, Gaebel W. </w:t>
            </w:r>
            <w:r w:rsidR="00D71104">
              <w:t>“</w:t>
            </w:r>
            <w:r w:rsidRPr="00A9751D">
              <w:t>Excess mortality in persons with severe mental disorders: a multilevel intervention framework and priorities for clinical practice, policy and research agendas.</w:t>
            </w:r>
            <w:r w:rsidR="00D71104">
              <w:t>”</w:t>
            </w:r>
            <w:r w:rsidRPr="00A9751D">
              <w:t xml:space="preserve"> </w:t>
            </w:r>
            <w:r w:rsidRPr="00D71104">
              <w:rPr>
                <w:i/>
              </w:rPr>
              <w:t>World psychiatry</w:t>
            </w:r>
            <w:r w:rsidRPr="00A9751D">
              <w:t>. 2017 Feb;16(1):30-40.</w:t>
            </w:r>
          </w:p>
          <w:p w14:paraId="20BA9221" w14:textId="77777777" w:rsidR="00152870" w:rsidRPr="00A9751D" w:rsidRDefault="00152870" w:rsidP="00152870"/>
          <w:p w14:paraId="3084C079" w14:textId="57BE49B1" w:rsidR="00152870" w:rsidRDefault="00152870" w:rsidP="00152870">
            <w:pPr>
              <w:pStyle w:val="ListParagraph"/>
              <w:numPr>
                <w:ilvl w:val="0"/>
                <w:numId w:val="3"/>
              </w:numPr>
            </w:pPr>
            <w:r w:rsidRPr="00A9751D">
              <w:t xml:space="preserve">Public Health England (2017). </w:t>
            </w:r>
            <w:r w:rsidRPr="00D71104">
              <w:rPr>
                <w:i/>
              </w:rPr>
              <w:t>Working together to address obesity in adult mental health secure units: A systematic review of the evidence and a summary of the implications for practice</w:t>
            </w:r>
            <w:r w:rsidRPr="00A9751D">
              <w:t xml:space="preserve">. London, UK: Public Health England. </w:t>
            </w:r>
          </w:p>
          <w:p w14:paraId="4AE250AA" w14:textId="77777777" w:rsidR="00BF681F" w:rsidRDefault="00BF681F" w:rsidP="00F30F1C">
            <w:pPr>
              <w:pStyle w:val="ListParagraph"/>
            </w:pPr>
          </w:p>
          <w:p w14:paraId="204AC630" w14:textId="77777777" w:rsidR="00BF681F" w:rsidRDefault="00BF681F" w:rsidP="00F30F1C">
            <w:pPr>
              <w:pStyle w:val="ListParagraph"/>
              <w:numPr>
                <w:ilvl w:val="0"/>
                <w:numId w:val="3"/>
              </w:numPr>
            </w:pPr>
            <w:r w:rsidRPr="00BF681F">
              <w:rPr>
                <w:rFonts w:asciiTheme="minorHAnsi" w:hAnsiTheme="minorHAnsi" w:cstheme="minorBidi"/>
              </w:rPr>
              <w:t xml:space="preserve"> </w:t>
            </w:r>
            <w:r>
              <w:t xml:space="preserve">Korge J, Nunan D. “Higher participation in physical activity is associated with less use of inpatient mental health services: A cross-sectional study.” </w:t>
            </w:r>
            <w:r w:rsidRPr="00BF681F">
              <w:rPr>
                <w:i/>
              </w:rPr>
              <w:t>Psychiatry research</w:t>
            </w:r>
            <w:r>
              <w:t>. 2018 Jan 1;259:550-3.</w:t>
            </w:r>
          </w:p>
          <w:p w14:paraId="209C2EFB" w14:textId="77777777" w:rsidR="00BF681F" w:rsidRDefault="00BF681F" w:rsidP="00F30F1C">
            <w:pPr>
              <w:pStyle w:val="ListParagraph"/>
            </w:pPr>
          </w:p>
          <w:p w14:paraId="0FD3C069" w14:textId="3A45BC04" w:rsidR="00BF681F" w:rsidRDefault="00BF681F" w:rsidP="00F30F1C">
            <w:pPr>
              <w:pStyle w:val="ListParagraph"/>
              <w:numPr>
                <w:ilvl w:val="0"/>
                <w:numId w:val="3"/>
              </w:numPr>
            </w:pPr>
            <w:r>
              <w:t xml:space="preserve">Chekroud s, et al, “Association between physical exercise and mental health in 1·2 million </w:t>
            </w:r>
            <w:r>
              <w:lastRenderedPageBreak/>
              <w:t xml:space="preserve">individuals in the USA between 2011 and 2015: a cross-sectional study.” </w:t>
            </w:r>
            <w:r w:rsidRPr="00D71104">
              <w:rPr>
                <w:i/>
              </w:rPr>
              <w:t>The Lancet Psychiatry</w:t>
            </w:r>
            <w:r>
              <w:t xml:space="preserve">, September 2018, </w:t>
            </w:r>
            <w:hyperlink r:id="rId20" w:history="1">
              <w:r>
                <w:rPr>
                  <w:rStyle w:val="Hyperlink"/>
                </w:rPr>
                <w:t>https://doi.org/10.1016/S2215-0366(18)30227-X</w:t>
              </w:r>
            </w:hyperlink>
          </w:p>
          <w:p w14:paraId="6496C3A8" w14:textId="77777777" w:rsidR="00BF681F" w:rsidRDefault="00BF681F" w:rsidP="00F30F1C"/>
          <w:p w14:paraId="1E6B9918" w14:textId="77777777" w:rsidR="00234135" w:rsidRPr="00EB05AD" w:rsidRDefault="00234135" w:rsidP="0026417D">
            <w:pPr>
              <w:spacing w:before="40" w:after="40"/>
              <w:rPr>
                <w:rFonts w:cs="Arial"/>
                <w:b/>
                <w:szCs w:val="24"/>
              </w:rPr>
            </w:pPr>
          </w:p>
        </w:tc>
      </w:tr>
      <w:tr w:rsidR="0026417D" w:rsidRPr="000412A1" w14:paraId="0649AFD9" w14:textId="77777777" w:rsidTr="00451775">
        <w:tc>
          <w:tcPr>
            <w:tcW w:w="5000" w:type="pct"/>
            <w:gridSpan w:val="5"/>
            <w:shd w:val="clear" w:color="auto" w:fill="auto"/>
          </w:tcPr>
          <w:p w14:paraId="558423A7" w14:textId="77777777" w:rsidR="0026417D" w:rsidRPr="0026417D" w:rsidRDefault="0026417D" w:rsidP="0026417D">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4958A55E" w14:textId="77777777" w:rsid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14:paraId="68CCEFF9" w14:textId="77777777" w:rsidR="00315F8B" w:rsidRPr="00F726C2" w:rsidRDefault="00315F8B" w:rsidP="00F726C2">
            <w:pPr>
              <w:spacing w:before="40" w:after="40"/>
              <w:rPr>
                <w:rFonts w:cs="Arial"/>
                <w:b/>
                <w:color w:val="000000"/>
                <w:szCs w:val="24"/>
              </w:rPr>
            </w:pPr>
          </w:p>
          <w:p w14:paraId="4DB51F69" w14:textId="77777777" w:rsidR="00400742" w:rsidRPr="00F200F9" w:rsidRDefault="00400742" w:rsidP="00400742">
            <w:pPr>
              <w:spacing w:before="40" w:after="40"/>
              <w:rPr>
                <w:rFonts w:cs="Arial"/>
                <w:szCs w:val="24"/>
              </w:rPr>
            </w:pPr>
            <w:r w:rsidRPr="00F200F9">
              <w:rPr>
                <w:rFonts w:cs="Arial"/>
                <w:szCs w:val="24"/>
              </w:rPr>
              <w:t>Obesity rates are higher in people with mental illness; individuals with schizophrenia have a 2.8 to 3.5 times higher rate, while those with major depressive disorder or bipolar disorder have a 1.2 to 1.5 increased risk of being obese than the general population (2)</w:t>
            </w:r>
            <w:r>
              <w:rPr>
                <w:rFonts w:cs="Arial"/>
                <w:szCs w:val="24"/>
              </w:rPr>
              <w:t xml:space="preserve">. </w:t>
            </w:r>
            <w:r w:rsidRPr="00F200F9">
              <w:rPr>
                <w:rFonts w:cs="Arial"/>
                <w:szCs w:val="24"/>
              </w:rPr>
              <w:t xml:space="preserve">Being overweight seriously affects people’s quality of life and their health. It increases the risk of metabolic abnormalities (metabolic syndrome) resulting in </w:t>
            </w:r>
          </w:p>
          <w:p w14:paraId="3882DC0E" w14:textId="77777777" w:rsidR="00400742" w:rsidRPr="00F200F9" w:rsidRDefault="00400742" w:rsidP="00400742">
            <w:pPr>
              <w:pStyle w:val="ListParagraph"/>
              <w:numPr>
                <w:ilvl w:val="0"/>
                <w:numId w:val="4"/>
              </w:numPr>
              <w:spacing w:before="40" w:after="40"/>
              <w:rPr>
                <w:rFonts w:cs="Arial"/>
                <w:szCs w:val="24"/>
              </w:rPr>
            </w:pPr>
            <w:r w:rsidRPr="00F200F9">
              <w:rPr>
                <w:rFonts w:cs="Arial"/>
                <w:szCs w:val="24"/>
              </w:rPr>
              <w:t xml:space="preserve">5-6 times increase in type 2 diabetes, </w:t>
            </w:r>
          </w:p>
          <w:p w14:paraId="0F40E7EB" w14:textId="77777777" w:rsidR="00400742" w:rsidRPr="00F200F9" w:rsidRDefault="00400742" w:rsidP="00400742">
            <w:pPr>
              <w:pStyle w:val="ListParagraph"/>
              <w:numPr>
                <w:ilvl w:val="0"/>
                <w:numId w:val="4"/>
              </w:numPr>
              <w:spacing w:before="40" w:after="40"/>
              <w:rPr>
                <w:rFonts w:cs="Arial"/>
                <w:szCs w:val="24"/>
              </w:rPr>
            </w:pPr>
            <w:r w:rsidRPr="00F200F9">
              <w:rPr>
                <w:rFonts w:cs="Arial"/>
                <w:szCs w:val="24"/>
              </w:rPr>
              <w:t xml:space="preserve">3-6 times increased risk of mortality due to cardiovascular diseases including coronary heart disease, and stroke, </w:t>
            </w:r>
          </w:p>
          <w:p w14:paraId="480DEC40" w14:textId="77777777" w:rsidR="00400742" w:rsidRPr="00F200F9" w:rsidRDefault="00400742" w:rsidP="00400742">
            <w:pPr>
              <w:pStyle w:val="ListParagraph"/>
              <w:numPr>
                <w:ilvl w:val="0"/>
                <w:numId w:val="4"/>
              </w:numPr>
              <w:spacing w:before="40" w:after="40"/>
              <w:rPr>
                <w:rFonts w:cs="Arial"/>
                <w:szCs w:val="24"/>
              </w:rPr>
            </w:pPr>
            <w:r w:rsidRPr="00F200F9">
              <w:rPr>
                <w:rFonts w:cs="Arial"/>
                <w:szCs w:val="24"/>
              </w:rPr>
              <w:t xml:space="preserve">an increased prevalence of non-alcoholic fatty liver disease and some cancers in </w:t>
            </w:r>
            <w:r>
              <w:rPr>
                <w:rFonts w:cs="Arial"/>
                <w:szCs w:val="24"/>
              </w:rPr>
              <w:t>individuals with mental illness</w:t>
            </w:r>
            <w:r w:rsidRPr="00F200F9">
              <w:rPr>
                <w:rFonts w:cs="Arial"/>
                <w:szCs w:val="24"/>
              </w:rPr>
              <w:t xml:space="preserve">. (3-6). </w:t>
            </w:r>
          </w:p>
          <w:p w14:paraId="37AE1E2F" w14:textId="77777777" w:rsidR="0026417D" w:rsidRDefault="00400742" w:rsidP="00400742">
            <w:pPr>
              <w:rPr>
                <w:rFonts w:cs="Arial"/>
                <w:color w:val="000000"/>
                <w:szCs w:val="24"/>
              </w:rPr>
            </w:pPr>
            <w:r>
              <w:rPr>
                <w:rFonts w:cs="Arial"/>
                <w:color w:val="000000"/>
                <w:szCs w:val="24"/>
              </w:rPr>
              <w:t>Reductions in these factors will benefit patients in secure settings in addition to providers and commissioners of secure services and by extension the wider health system.</w:t>
            </w:r>
          </w:p>
          <w:p w14:paraId="111C5085" w14:textId="6A93804E" w:rsidR="00A16EAF" w:rsidRPr="005D3B58" w:rsidRDefault="00A16EAF" w:rsidP="00400742">
            <w:pPr>
              <w:rPr>
                <w:rFonts w:cs="Arial"/>
                <w:color w:val="000000"/>
                <w:szCs w:val="24"/>
              </w:rPr>
            </w:pPr>
          </w:p>
        </w:tc>
      </w:tr>
      <w:tr w:rsidR="00C25612" w:rsidRPr="000412A1" w14:paraId="1842431B" w14:textId="77777777" w:rsidTr="00451775">
        <w:tc>
          <w:tcPr>
            <w:tcW w:w="5000" w:type="pct"/>
            <w:gridSpan w:val="5"/>
            <w:shd w:val="clear" w:color="auto" w:fill="D9D9D9" w:themeFill="background1" w:themeFillShade="D9"/>
          </w:tcPr>
          <w:p w14:paraId="53EBCDC8" w14:textId="77777777" w:rsidR="00C25612" w:rsidRPr="0026417D" w:rsidRDefault="00C25612" w:rsidP="001F6AA3">
            <w:pPr>
              <w:rPr>
                <w:rFonts w:cs="Arial"/>
                <w:b/>
                <w:color w:val="000000"/>
                <w:szCs w:val="24"/>
                <w:u w:val="single"/>
              </w:rPr>
            </w:pPr>
            <w:r>
              <w:rPr>
                <w:rFonts w:cs="Arial"/>
                <w:b/>
                <w:szCs w:val="24"/>
              </w:rPr>
              <w:t xml:space="preserve">D2. </w:t>
            </w:r>
            <w:r w:rsidR="001F421F">
              <w:rPr>
                <w:rFonts w:cs="Arial"/>
                <w:b/>
                <w:szCs w:val="24"/>
              </w:rPr>
              <w:t>Indicator</w:t>
            </w:r>
            <w:r>
              <w:rPr>
                <w:rFonts w:cs="Arial"/>
                <w:b/>
                <w:szCs w:val="24"/>
              </w:rPr>
              <w:t xml:space="preserve"> Duration and Exit Route</w:t>
            </w:r>
          </w:p>
        </w:tc>
      </w:tr>
      <w:tr w:rsidR="00C25612" w:rsidRPr="000412A1" w14:paraId="64C1D80E" w14:textId="77777777" w:rsidTr="00451775">
        <w:tc>
          <w:tcPr>
            <w:tcW w:w="5000" w:type="pct"/>
            <w:gridSpan w:val="5"/>
            <w:shd w:val="clear" w:color="auto" w:fill="auto"/>
          </w:tcPr>
          <w:p w14:paraId="4115274B" w14:textId="77777777" w:rsidR="00C25612" w:rsidRPr="00B7604C"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w:t>
            </w:r>
            <w:r w:rsidR="00B7604C">
              <w:rPr>
                <w:rFonts w:cs="Arial"/>
                <w:b/>
                <w:color w:val="000000"/>
                <w:szCs w:val="24"/>
              </w:rPr>
              <w:t>ces specification or otherwise.</w:t>
            </w:r>
          </w:p>
          <w:p w14:paraId="639142D5" w14:textId="77777777" w:rsidR="00C25612" w:rsidRDefault="00C25612" w:rsidP="0026417D">
            <w:pPr>
              <w:rPr>
                <w:rFonts w:cs="Arial"/>
                <w:b/>
                <w:color w:val="000000"/>
                <w:szCs w:val="24"/>
                <w:u w:val="single"/>
              </w:rPr>
            </w:pPr>
          </w:p>
          <w:p w14:paraId="761F35BB" w14:textId="30235969" w:rsidR="00F200F9" w:rsidRDefault="00F200F9" w:rsidP="006039E2">
            <w:pPr>
              <w:rPr>
                <w:rFonts w:cs="Arial"/>
                <w:color w:val="000000"/>
                <w:szCs w:val="24"/>
              </w:rPr>
            </w:pPr>
            <w:r w:rsidRPr="006039E2">
              <w:rPr>
                <w:rFonts w:cs="Arial"/>
                <w:color w:val="000000"/>
                <w:szCs w:val="24"/>
              </w:rPr>
              <w:t>This scheme is expected to be delivered as business as</w:t>
            </w:r>
            <w:r w:rsidR="006039E2" w:rsidRPr="006039E2">
              <w:rPr>
                <w:rFonts w:cs="Arial"/>
                <w:color w:val="000000"/>
                <w:szCs w:val="24"/>
              </w:rPr>
              <w:t xml:space="preserve"> usual</w:t>
            </w:r>
            <w:r w:rsidR="006E3543">
              <w:rPr>
                <w:rFonts w:cs="Arial"/>
                <w:color w:val="000000"/>
                <w:szCs w:val="24"/>
              </w:rPr>
              <w:t xml:space="preserve"> with requirements reflected in NHS England contract from 2021-22</w:t>
            </w:r>
            <w:r w:rsidRPr="006039E2">
              <w:rPr>
                <w:rFonts w:cs="Arial"/>
                <w:color w:val="000000"/>
                <w:szCs w:val="24"/>
              </w:rPr>
              <w:t xml:space="preserve">. </w:t>
            </w:r>
          </w:p>
          <w:p w14:paraId="4BD5D10E" w14:textId="6A5265FB" w:rsidR="006039E2" w:rsidRPr="006039E2" w:rsidRDefault="006039E2" w:rsidP="006039E2">
            <w:pPr>
              <w:rPr>
                <w:rFonts w:cs="Arial"/>
                <w:b/>
                <w:color w:val="000000"/>
                <w:szCs w:val="24"/>
                <w:u w:val="single"/>
              </w:rPr>
            </w:pPr>
          </w:p>
        </w:tc>
      </w:tr>
      <w:tr w:rsidR="00234135" w:rsidRPr="00BB243E" w14:paraId="0C50E871" w14:textId="77777777" w:rsidTr="00451775">
        <w:tc>
          <w:tcPr>
            <w:tcW w:w="5000" w:type="pct"/>
            <w:gridSpan w:val="5"/>
            <w:shd w:val="clear" w:color="auto" w:fill="D9D9D9" w:themeFill="background1" w:themeFillShade="D9"/>
          </w:tcPr>
          <w:p w14:paraId="7B8A8658" w14:textId="77777777"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6F334FB3" w14:textId="77777777" w:rsidTr="00451775">
        <w:tc>
          <w:tcPr>
            <w:tcW w:w="5000" w:type="pct"/>
            <w:gridSpan w:val="5"/>
          </w:tcPr>
          <w:p w14:paraId="16F1DDF1" w14:textId="77777777" w:rsidR="00234135" w:rsidRPr="001F6AA3" w:rsidRDefault="00234135" w:rsidP="0084461B">
            <w:pPr>
              <w:rPr>
                <w:rFonts w:cs="Arial"/>
                <w:b/>
                <w:szCs w:val="24"/>
              </w:rPr>
            </w:pPr>
            <w:r w:rsidRPr="001F6AA3">
              <w:rPr>
                <w:rFonts w:cs="Arial"/>
                <w:b/>
                <w:szCs w:val="24"/>
              </w:rPr>
              <w:t>The evidence and assumptions upon which the target payment was based, so as to ensure payment of at least 150% of average costs (net of any savings or reimbursements under other mechanisms), is as follows:</w:t>
            </w:r>
          </w:p>
          <w:p w14:paraId="26A7C38E" w14:textId="77777777" w:rsidR="00234135" w:rsidRDefault="00234135" w:rsidP="00B2271C">
            <w:pPr>
              <w:rPr>
                <w:rFonts w:eastAsiaTheme="minorEastAsia" w:cs="Arial"/>
                <w:szCs w:val="24"/>
              </w:rPr>
            </w:pPr>
          </w:p>
          <w:p w14:paraId="0513A58B" w14:textId="77777777" w:rsidR="00742525" w:rsidRDefault="009B7280" w:rsidP="00B2271C">
            <w:pPr>
              <w:rPr>
                <w:rFonts w:eastAsiaTheme="minorEastAsia" w:cs="Arial"/>
                <w:szCs w:val="24"/>
              </w:rPr>
            </w:pPr>
            <w:r>
              <w:rPr>
                <w:rFonts w:eastAsiaTheme="minorEastAsia" w:cs="Arial"/>
                <w:szCs w:val="24"/>
              </w:rPr>
              <w:t>Target payment c</w:t>
            </w:r>
            <w:r w:rsidR="000D5D6B" w:rsidRPr="009B7280">
              <w:rPr>
                <w:rFonts w:eastAsiaTheme="minorEastAsia" w:cs="Arial"/>
                <w:szCs w:val="24"/>
              </w:rPr>
              <w:t xml:space="preserve">overs costs of </w:t>
            </w:r>
            <w:r>
              <w:rPr>
                <w:rFonts w:eastAsiaTheme="minorEastAsia" w:cs="Arial"/>
                <w:szCs w:val="24"/>
              </w:rPr>
              <w:t>establishing the scheme and the associated organisational and service structures, processes and delivery mechanisms including</w:t>
            </w:r>
            <w:r w:rsidR="000D5D6B" w:rsidRPr="009B7280">
              <w:rPr>
                <w:rFonts w:eastAsiaTheme="minorEastAsia" w:cs="Arial"/>
                <w:szCs w:val="24"/>
              </w:rPr>
              <w:t xml:space="preserve"> </w:t>
            </w:r>
            <w:r>
              <w:rPr>
                <w:rFonts w:eastAsiaTheme="minorEastAsia" w:cs="Arial"/>
                <w:szCs w:val="24"/>
              </w:rPr>
              <w:t xml:space="preserve">training and </w:t>
            </w:r>
            <w:r w:rsidR="000D5D6B" w:rsidRPr="009B7280">
              <w:rPr>
                <w:rFonts w:eastAsiaTheme="minorEastAsia" w:cs="Arial"/>
                <w:szCs w:val="24"/>
              </w:rPr>
              <w:t xml:space="preserve">equipment </w:t>
            </w:r>
            <w:r>
              <w:rPr>
                <w:rFonts w:eastAsiaTheme="minorEastAsia" w:cs="Arial"/>
                <w:szCs w:val="24"/>
              </w:rPr>
              <w:t xml:space="preserve">requirements. </w:t>
            </w:r>
          </w:p>
          <w:p w14:paraId="4B724868" w14:textId="77777777" w:rsidR="00742525" w:rsidRDefault="00742525" w:rsidP="00B2271C">
            <w:pPr>
              <w:rPr>
                <w:rFonts w:eastAsiaTheme="minorEastAsia" w:cs="Arial"/>
                <w:szCs w:val="24"/>
              </w:rPr>
            </w:pPr>
          </w:p>
          <w:p w14:paraId="53701C12" w14:textId="36E913EA" w:rsidR="000D5D6B" w:rsidRPr="009B7280" w:rsidRDefault="00742525" w:rsidP="00B2271C">
            <w:pPr>
              <w:rPr>
                <w:rFonts w:eastAsiaTheme="minorEastAsia" w:cs="Arial"/>
                <w:szCs w:val="24"/>
              </w:rPr>
            </w:pPr>
            <w:r>
              <w:rPr>
                <w:rFonts w:eastAsiaTheme="minorEastAsia" w:cs="Arial"/>
                <w:szCs w:val="24"/>
              </w:rPr>
              <w:t xml:space="preserve">Scheme costs will </w:t>
            </w:r>
            <w:r w:rsidR="009B7280">
              <w:rPr>
                <w:rFonts w:eastAsiaTheme="minorEastAsia" w:cs="Arial"/>
                <w:szCs w:val="24"/>
              </w:rPr>
              <w:t xml:space="preserve">vary by </w:t>
            </w:r>
            <w:r>
              <w:rPr>
                <w:rFonts w:eastAsiaTheme="minorEastAsia" w:cs="Arial"/>
                <w:szCs w:val="24"/>
              </w:rPr>
              <w:t>provider and individual service reflecting organisational differences</w:t>
            </w:r>
            <w:r w:rsidR="009B7280">
              <w:rPr>
                <w:rFonts w:eastAsiaTheme="minorEastAsia" w:cs="Arial"/>
                <w:szCs w:val="24"/>
              </w:rPr>
              <w:t xml:space="preserve"> for example </w:t>
            </w:r>
            <w:r>
              <w:rPr>
                <w:rFonts w:eastAsiaTheme="minorEastAsia" w:cs="Arial"/>
                <w:szCs w:val="24"/>
              </w:rPr>
              <w:t xml:space="preserve">against a </w:t>
            </w:r>
            <w:r w:rsidR="009B7280">
              <w:rPr>
                <w:rFonts w:eastAsiaTheme="minorEastAsia" w:cs="Arial"/>
                <w:szCs w:val="24"/>
              </w:rPr>
              <w:t>single or multi-site provider</w:t>
            </w:r>
            <w:r>
              <w:rPr>
                <w:rFonts w:eastAsiaTheme="minorEastAsia" w:cs="Arial"/>
                <w:szCs w:val="24"/>
              </w:rPr>
              <w:t>, linking the value of the scheme to the value of the contract baseline ensures equity in approach.</w:t>
            </w:r>
          </w:p>
          <w:p w14:paraId="0C8C412B" w14:textId="77777777" w:rsidR="000D5D6B" w:rsidRDefault="000D5D6B" w:rsidP="00B2271C">
            <w:pPr>
              <w:rPr>
                <w:rFonts w:eastAsiaTheme="minorEastAsia" w:cs="Arial"/>
                <w:szCs w:val="24"/>
              </w:rPr>
            </w:pPr>
          </w:p>
          <w:p w14:paraId="1403C1ED" w14:textId="7E4A898F" w:rsidR="000D5D6B" w:rsidRDefault="000D5D6B" w:rsidP="00B2271C">
            <w:pPr>
              <w:rPr>
                <w:rFonts w:eastAsiaTheme="minorEastAsia" w:cs="Arial"/>
                <w:szCs w:val="24"/>
              </w:rPr>
            </w:pPr>
          </w:p>
        </w:tc>
      </w:tr>
      <w:tr w:rsidR="0026417D" w:rsidRPr="00970018" w14:paraId="035E987A" w14:textId="77777777" w:rsidTr="00451775">
        <w:tc>
          <w:tcPr>
            <w:tcW w:w="5000" w:type="pct"/>
            <w:gridSpan w:val="5"/>
            <w:shd w:val="clear" w:color="auto" w:fill="BFBFBF" w:themeFill="background1" w:themeFillShade="BF"/>
          </w:tcPr>
          <w:p w14:paraId="1E85857C" w14:textId="62DA807F" w:rsidR="0026417D" w:rsidRPr="00970018" w:rsidRDefault="00970018" w:rsidP="004429A4">
            <w:pPr>
              <w:rPr>
                <w:rFonts w:cs="Arial"/>
                <w:b/>
                <w:szCs w:val="24"/>
              </w:rPr>
            </w:pPr>
            <w:r w:rsidRPr="00970018">
              <w:rPr>
                <w:rFonts w:cs="Arial"/>
                <w:b/>
                <w:szCs w:val="24"/>
              </w:rPr>
              <w:t>D</w:t>
            </w:r>
            <w:r w:rsidR="004429A4">
              <w:rPr>
                <w:rFonts w:cs="Arial"/>
                <w:b/>
                <w:szCs w:val="24"/>
              </w:rPr>
              <w:t>4</w:t>
            </w:r>
            <w:r w:rsidRPr="00970018">
              <w:rPr>
                <w:rFonts w:cs="Arial"/>
                <w:b/>
                <w:szCs w:val="24"/>
              </w:rPr>
              <w:t>. Evaluation</w:t>
            </w:r>
            <w:r w:rsidR="004429A4">
              <w:rPr>
                <w:rFonts w:cs="Arial"/>
                <w:b/>
                <w:szCs w:val="24"/>
              </w:rPr>
              <w:t>: Approach</w:t>
            </w:r>
            <w:r w:rsidR="006039E2">
              <w:rPr>
                <w:rFonts w:cs="Arial"/>
                <w:b/>
                <w:szCs w:val="24"/>
              </w:rPr>
              <w:t xml:space="preserve">, </w:t>
            </w:r>
            <w:r w:rsidR="004429A4" w:rsidRPr="004429A4">
              <w:rPr>
                <w:rFonts w:cs="Arial"/>
                <w:b/>
                <w:szCs w:val="24"/>
              </w:rPr>
              <w:t>data and resources</w:t>
            </w:r>
          </w:p>
        </w:tc>
      </w:tr>
      <w:tr w:rsidR="0026417D" w:rsidRPr="000412A1" w14:paraId="1748C815" w14:textId="77777777" w:rsidTr="00451775">
        <w:tc>
          <w:tcPr>
            <w:tcW w:w="5000" w:type="pct"/>
            <w:gridSpan w:val="5"/>
          </w:tcPr>
          <w:p w14:paraId="5F0C3D29" w14:textId="77777777"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14:paraId="38FB88FD" w14:textId="77777777" w:rsidR="0026417D" w:rsidRDefault="0026417D" w:rsidP="006039E2">
            <w:pPr>
              <w:rPr>
                <w:rFonts w:cs="Arial"/>
                <w:szCs w:val="24"/>
              </w:rPr>
            </w:pPr>
          </w:p>
          <w:p w14:paraId="1DB7C43B" w14:textId="60DF24C1" w:rsidR="006039E2" w:rsidRDefault="006039E2" w:rsidP="006039E2">
            <w:pPr>
              <w:rPr>
                <w:rFonts w:cs="Arial"/>
                <w:szCs w:val="24"/>
              </w:rPr>
            </w:pPr>
            <w:r>
              <w:rPr>
                <w:rFonts w:cs="Arial"/>
                <w:szCs w:val="24"/>
              </w:rPr>
              <w:lastRenderedPageBreak/>
              <w:t xml:space="preserve">Adult Secure CRG Healthy Weight Task and Finish Group to </w:t>
            </w:r>
            <w:r w:rsidR="00837BA1">
              <w:rPr>
                <w:rFonts w:cs="Arial"/>
                <w:szCs w:val="24"/>
              </w:rPr>
              <w:t>inform</w:t>
            </w:r>
            <w:r w:rsidR="000D5D6B">
              <w:rPr>
                <w:rFonts w:cs="Arial"/>
                <w:szCs w:val="24"/>
              </w:rPr>
              <w:t xml:space="preserve"> a</w:t>
            </w:r>
            <w:r>
              <w:rPr>
                <w:rFonts w:cs="Arial"/>
                <w:szCs w:val="24"/>
              </w:rPr>
              <w:t xml:space="preserve">pproach to </w:t>
            </w:r>
            <w:r w:rsidR="000D5D6B">
              <w:rPr>
                <w:rFonts w:cs="Arial"/>
                <w:szCs w:val="24"/>
              </w:rPr>
              <w:t xml:space="preserve">final programme </w:t>
            </w:r>
            <w:r>
              <w:rPr>
                <w:rFonts w:cs="Arial"/>
                <w:szCs w:val="24"/>
              </w:rPr>
              <w:t>evaluation</w:t>
            </w:r>
            <w:r w:rsidR="00400742">
              <w:rPr>
                <w:rFonts w:cs="Arial"/>
                <w:szCs w:val="24"/>
              </w:rPr>
              <w:t>.</w:t>
            </w:r>
          </w:p>
          <w:p w14:paraId="723C8860" w14:textId="011F02B7" w:rsidR="006039E2" w:rsidRPr="00BB243E" w:rsidRDefault="006039E2" w:rsidP="006039E2">
            <w:pPr>
              <w:rPr>
                <w:rFonts w:cs="Arial"/>
                <w:szCs w:val="24"/>
              </w:rPr>
            </w:pPr>
          </w:p>
        </w:tc>
      </w:tr>
      <w:tr w:rsidR="004429A4" w:rsidRPr="000412A1" w14:paraId="332109A2" w14:textId="77777777" w:rsidTr="00451775">
        <w:trPr>
          <w:trHeight w:val="135"/>
        </w:trPr>
        <w:tc>
          <w:tcPr>
            <w:tcW w:w="1377" w:type="pct"/>
            <w:gridSpan w:val="2"/>
            <w:shd w:val="clear" w:color="auto" w:fill="D9D9D9" w:themeFill="background1" w:themeFillShade="D9"/>
          </w:tcPr>
          <w:p w14:paraId="5E30952F" w14:textId="77777777" w:rsidR="004429A4" w:rsidRPr="0026417D" w:rsidRDefault="004429A4" w:rsidP="0026417D">
            <w:pPr>
              <w:rPr>
                <w:rFonts w:cs="Arial"/>
                <w:b/>
                <w:szCs w:val="24"/>
                <w:u w:val="single"/>
              </w:rPr>
            </w:pPr>
            <w:r>
              <w:rPr>
                <w:rFonts w:cs="Arial"/>
                <w:b/>
                <w:szCs w:val="24"/>
                <w:u w:val="single"/>
              </w:rPr>
              <w:lastRenderedPageBreak/>
              <w:t>Information for Evaluation</w:t>
            </w:r>
          </w:p>
        </w:tc>
        <w:tc>
          <w:tcPr>
            <w:tcW w:w="3623" w:type="pct"/>
            <w:gridSpan w:val="3"/>
          </w:tcPr>
          <w:p w14:paraId="3321CF78" w14:textId="539F761F" w:rsidR="00B7604C" w:rsidRPr="006039E2" w:rsidRDefault="006039E2" w:rsidP="006039E2">
            <w:pPr>
              <w:pStyle w:val="ListParagraph"/>
              <w:ind w:left="0"/>
              <w:rPr>
                <w:rFonts w:cs="Arial"/>
                <w:color w:val="FF0000"/>
                <w:szCs w:val="24"/>
              </w:rPr>
            </w:pPr>
            <w:r w:rsidRPr="00843E59">
              <w:rPr>
                <w:rFonts w:cs="Arial"/>
                <w:szCs w:val="24"/>
              </w:rPr>
              <w:t>To be determined</w:t>
            </w:r>
            <w:r w:rsidRPr="006039E2">
              <w:rPr>
                <w:rFonts w:cs="Arial"/>
                <w:szCs w:val="24"/>
              </w:rPr>
              <w:t xml:space="preserve"> </w:t>
            </w:r>
          </w:p>
        </w:tc>
      </w:tr>
      <w:tr w:rsidR="004429A4" w:rsidRPr="000412A1" w14:paraId="65F87645" w14:textId="77777777" w:rsidTr="00451775">
        <w:trPr>
          <w:trHeight w:val="135"/>
        </w:trPr>
        <w:tc>
          <w:tcPr>
            <w:tcW w:w="1377" w:type="pct"/>
            <w:gridSpan w:val="2"/>
            <w:shd w:val="clear" w:color="auto" w:fill="D9D9D9" w:themeFill="background1" w:themeFillShade="D9"/>
          </w:tcPr>
          <w:p w14:paraId="157B59EE" w14:textId="77777777"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623" w:type="pct"/>
            <w:gridSpan w:val="3"/>
          </w:tcPr>
          <w:p w14:paraId="401E5039" w14:textId="7745989D" w:rsidR="006C7F04" w:rsidRPr="00BC4EA9" w:rsidRDefault="00231660" w:rsidP="0026417D">
            <w:pPr>
              <w:rPr>
                <w:rFonts w:cs="Arial"/>
                <w:color w:val="FF0000"/>
                <w:szCs w:val="24"/>
                <w:u w:val="single"/>
              </w:rPr>
            </w:pPr>
            <w:r w:rsidRPr="00231660">
              <w:rPr>
                <w:rFonts w:cs="Arial"/>
                <w:szCs w:val="24"/>
              </w:rPr>
              <w:t xml:space="preserve">To be determined </w:t>
            </w:r>
          </w:p>
        </w:tc>
      </w:tr>
    </w:tbl>
    <w:p w14:paraId="07DE1906" w14:textId="77777777" w:rsidR="006B2327" w:rsidRDefault="006B2327" w:rsidP="00154269">
      <w:pPr>
        <w:rPr>
          <w:rFonts w:cs="Arial"/>
          <w:b/>
          <w:szCs w:val="24"/>
        </w:rPr>
      </w:pPr>
    </w:p>
    <w:p w14:paraId="42696045" w14:textId="77777777" w:rsidR="005931C4" w:rsidRDefault="005931C4" w:rsidP="006F038B">
      <w:pPr>
        <w:rPr>
          <w:rFonts w:cs="Arial"/>
          <w:b/>
          <w:i/>
          <w:szCs w:val="24"/>
        </w:rPr>
      </w:pPr>
    </w:p>
    <w:p w14:paraId="7186B19B" w14:textId="77777777" w:rsidR="00400742" w:rsidRPr="00CC2C89" w:rsidRDefault="00400742" w:rsidP="00400742">
      <w:pPr>
        <w:spacing w:after="200" w:line="276" w:lineRule="auto"/>
        <w:rPr>
          <w:rFonts w:cs="Arial"/>
          <w:b/>
          <w:szCs w:val="24"/>
        </w:rPr>
      </w:pPr>
      <w:r>
        <w:rPr>
          <w:rFonts w:cs="Arial"/>
          <w:b/>
          <w:i/>
          <w:szCs w:val="24"/>
        </w:rPr>
        <w:t>A</w:t>
      </w:r>
      <w:r w:rsidRPr="00CC2C89">
        <w:rPr>
          <w:rFonts w:cs="Arial"/>
          <w:b/>
          <w:szCs w:val="24"/>
        </w:rPr>
        <w:t>ppendix</w:t>
      </w:r>
    </w:p>
    <w:p w14:paraId="575873F4" w14:textId="77777777" w:rsidR="00400742" w:rsidRPr="00E75D62" w:rsidRDefault="00400742" w:rsidP="00400742">
      <w:pPr>
        <w:pStyle w:val="ListParagraph"/>
        <w:numPr>
          <w:ilvl w:val="0"/>
          <w:numId w:val="30"/>
        </w:numPr>
        <w:rPr>
          <w:rFonts w:cs="Arial"/>
          <w:b/>
          <w:szCs w:val="24"/>
        </w:rPr>
      </w:pPr>
      <w:r w:rsidRPr="00E75D62">
        <w:rPr>
          <w:rFonts w:cs="Arial"/>
          <w:b/>
          <w:szCs w:val="24"/>
        </w:rPr>
        <w:t>Useful reference material</w:t>
      </w:r>
    </w:p>
    <w:p w14:paraId="7765402A" w14:textId="77777777" w:rsidR="00400742" w:rsidRDefault="00400742" w:rsidP="00400742">
      <w:pPr>
        <w:rPr>
          <w:rFonts w:cs="Arial"/>
          <w:b/>
          <w:szCs w:val="24"/>
        </w:rPr>
      </w:pPr>
    </w:p>
    <w:p w14:paraId="025B7403" w14:textId="77777777" w:rsidR="00400742" w:rsidRDefault="0047277D" w:rsidP="00400742">
      <w:pPr>
        <w:rPr>
          <w:rFonts w:cs="Arial"/>
          <w:szCs w:val="24"/>
        </w:rPr>
      </w:pPr>
      <w:hyperlink r:id="rId21" w:history="1">
        <w:r w:rsidR="00400742" w:rsidRPr="00747FE6">
          <w:rPr>
            <w:rStyle w:val="Hyperlink"/>
            <w:rFonts w:cs="Arial"/>
            <w:szCs w:val="24"/>
          </w:rPr>
          <w:t>https://assets.publishing.service.gov.uk/government/uploads/system/uploads/attachment_data/file/591875/obesity_in_mental_health_secure_units.pdf</w:t>
        </w:r>
      </w:hyperlink>
      <w:r w:rsidR="00400742">
        <w:rPr>
          <w:rFonts w:cs="Arial"/>
          <w:szCs w:val="24"/>
        </w:rPr>
        <w:t xml:space="preserve"> </w:t>
      </w:r>
    </w:p>
    <w:p w14:paraId="097E482C" w14:textId="77777777" w:rsidR="00400742" w:rsidRDefault="00400742" w:rsidP="00400742">
      <w:pPr>
        <w:rPr>
          <w:rFonts w:cs="Arial"/>
          <w:szCs w:val="24"/>
        </w:rPr>
      </w:pPr>
    </w:p>
    <w:p w14:paraId="4CA3727D" w14:textId="77777777" w:rsidR="00400742" w:rsidRDefault="0047277D" w:rsidP="00400742">
      <w:pPr>
        <w:rPr>
          <w:rFonts w:cs="Arial"/>
          <w:szCs w:val="24"/>
        </w:rPr>
      </w:pPr>
      <w:hyperlink r:id="rId22" w:history="1">
        <w:r w:rsidR="00400742" w:rsidRPr="00DD3EF8">
          <w:rPr>
            <w:rStyle w:val="Hyperlink"/>
            <w:rFonts w:cs="Arial"/>
            <w:szCs w:val="24"/>
          </w:rPr>
          <w:t>https://www.nice.org.uk/guidance/qs111</w:t>
        </w:r>
      </w:hyperlink>
      <w:r w:rsidR="00400742" w:rsidRPr="00DD3EF8">
        <w:rPr>
          <w:rFonts w:cs="Arial"/>
          <w:szCs w:val="24"/>
        </w:rPr>
        <w:t xml:space="preserve"> </w:t>
      </w:r>
    </w:p>
    <w:p w14:paraId="356C0037" w14:textId="77777777" w:rsidR="00400742" w:rsidRPr="00DD3EF8" w:rsidRDefault="00400742" w:rsidP="00400742">
      <w:pPr>
        <w:rPr>
          <w:rFonts w:cs="Arial"/>
          <w:szCs w:val="24"/>
        </w:rPr>
      </w:pPr>
    </w:p>
    <w:p w14:paraId="0B510E3B" w14:textId="77777777" w:rsidR="00400742" w:rsidRDefault="00400742" w:rsidP="00400742"/>
    <w:p w14:paraId="3F9BB584" w14:textId="77777777" w:rsidR="00400742" w:rsidRDefault="0047277D" w:rsidP="00400742">
      <w:pPr>
        <w:rPr>
          <w:rStyle w:val="Hyperlink"/>
          <w:rFonts w:cs="Arial"/>
          <w:szCs w:val="24"/>
        </w:rPr>
      </w:pPr>
      <w:hyperlink r:id="rId23" w:history="1">
        <w:r w:rsidR="00400742" w:rsidRPr="00DD3EF8">
          <w:rPr>
            <w:rStyle w:val="Hyperlink"/>
            <w:rFonts w:cs="Arial"/>
            <w:szCs w:val="24"/>
          </w:rPr>
          <w:t>https://www.england.nhs.uk/sugar-action/</w:t>
        </w:r>
      </w:hyperlink>
    </w:p>
    <w:p w14:paraId="538F58C0" w14:textId="77777777" w:rsidR="00400742" w:rsidRDefault="00400742" w:rsidP="00400742">
      <w:pPr>
        <w:rPr>
          <w:rStyle w:val="Hyperlink"/>
          <w:rFonts w:cs="Arial"/>
          <w:szCs w:val="24"/>
        </w:rPr>
      </w:pPr>
    </w:p>
    <w:p w14:paraId="3D4CA8C0" w14:textId="77777777" w:rsidR="00400742" w:rsidRDefault="0047277D" w:rsidP="00400742">
      <w:pPr>
        <w:rPr>
          <w:rStyle w:val="Hyperlink"/>
          <w:rFonts w:cs="Arial"/>
          <w:szCs w:val="24"/>
          <w:u w:val="none"/>
        </w:rPr>
      </w:pPr>
      <w:hyperlink r:id="rId24" w:history="1">
        <w:r w:rsidR="00400742" w:rsidRPr="00926176">
          <w:rPr>
            <w:rStyle w:val="Hyperlink"/>
            <w:rFonts w:cs="Arial"/>
            <w:szCs w:val="24"/>
          </w:rPr>
          <w:t>https://assets.publishing.service.gov.uk/government/uploads/system/uploads/attachment_data/file/595129/Healthier_and_more_suistainable_GBSF_checklist.pdf</w:t>
        </w:r>
      </w:hyperlink>
      <w:r w:rsidR="00400742">
        <w:rPr>
          <w:rStyle w:val="Hyperlink"/>
          <w:rFonts w:cs="Arial"/>
          <w:szCs w:val="24"/>
          <w:u w:val="none"/>
        </w:rPr>
        <w:t xml:space="preserve"> </w:t>
      </w:r>
    </w:p>
    <w:p w14:paraId="40F28FE9" w14:textId="77777777" w:rsidR="00400742" w:rsidRDefault="00400742" w:rsidP="00400742">
      <w:pPr>
        <w:rPr>
          <w:rStyle w:val="Hyperlink"/>
          <w:rFonts w:cs="Arial"/>
          <w:szCs w:val="24"/>
          <w:u w:val="none"/>
        </w:rPr>
      </w:pPr>
    </w:p>
    <w:p w14:paraId="3487C665" w14:textId="77777777" w:rsidR="00400742" w:rsidRDefault="0047277D" w:rsidP="00400742">
      <w:pPr>
        <w:rPr>
          <w:rStyle w:val="Hyperlink"/>
          <w:rFonts w:cs="Arial"/>
          <w:szCs w:val="24"/>
          <w:u w:val="none"/>
        </w:rPr>
      </w:pPr>
      <w:hyperlink r:id="rId25" w:history="1">
        <w:r w:rsidR="00400742" w:rsidRPr="003A3B16">
          <w:rPr>
            <w:rStyle w:val="Hyperlink"/>
            <w:rFonts w:cs="Arial"/>
            <w:szCs w:val="24"/>
          </w:rPr>
          <w:t>https://www.gov.uk/government/publications/healthier-and-more-sustainable-catering-a-toolkit-for-serving-food-to-adults</w:t>
        </w:r>
      </w:hyperlink>
      <w:r w:rsidR="00400742">
        <w:rPr>
          <w:rStyle w:val="Hyperlink"/>
          <w:rFonts w:cs="Arial"/>
          <w:szCs w:val="24"/>
          <w:u w:val="none"/>
        </w:rPr>
        <w:t xml:space="preserve"> </w:t>
      </w:r>
    </w:p>
    <w:p w14:paraId="57D2E7FB" w14:textId="77777777" w:rsidR="00400742" w:rsidRDefault="00400742" w:rsidP="00400742">
      <w:pPr>
        <w:rPr>
          <w:rStyle w:val="Hyperlink"/>
          <w:rFonts w:cs="Arial"/>
          <w:szCs w:val="24"/>
          <w:u w:val="none"/>
        </w:rPr>
      </w:pPr>
    </w:p>
    <w:p w14:paraId="511A7979" w14:textId="77777777" w:rsidR="00400742" w:rsidRDefault="0047277D" w:rsidP="00400742">
      <w:pPr>
        <w:rPr>
          <w:rStyle w:val="Hyperlink"/>
          <w:rFonts w:cs="Arial"/>
          <w:szCs w:val="24"/>
          <w:u w:val="none"/>
        </w:rPr>
      </w:pPr>
      <w:hyperlink r:id="rId26" w:history="1">
        <w:r w:rsidR="00400742" w:rsidRPr="003A3B16">
          <w:rPr>
            <w:rStyle w:val="Hyperlink"/>
            <w:rFonts w:cs="Arial"/>
            <w:szCs w:val="24"/>
          </w:rPr>
          <w:t>https://www.longtermplan.nhs.uk/</w:t>
        </w:r>
      </w:hyperlink>
    </w:p>
    <w:p w14:paraId="7FB3095E" w14:textId="77777777" w:rsidR="00400742" w:rsidRDefault="00400742" w:rsidP="00400742">
      <w:pPr>
        <w:rPr>
          <w:rStyle w:val="Hyperlink"/>
          <w:rFonts w:cs="Arial"/>
          <w:szCs w:val="24"/>
          <w:u w:val="none"/>
        </w:rPr>
      </w:pPr>
    </w:p>
    <w:p w14:paraId="127B695E" w14:textId="77777777" w:rsidR="00400742" w:rsidRDefault="0047277D" w:rsidP="00400742">
      <w:pPr>
        <w:rPr>
          <w:rStyle w:val="Hyperlink"/>
          <w:rFonts w:cs="Arial"/>
          <w:szCs w:val="24"/>
          <w:u w:val="none"/>
        </w:rPr>
      </w:pPr>
      <w:hyperlink r:id="rId27" w:history="1">
        <w:r w:rsidR="00400742" w:rsidRPr="003A3B16">
          <w:rPr>
            <w:rStyle w:val="Hyperlink"/>
            <w:rFonts w:cs="Arial"/>
            <w:szCs w:val="24"/>
          </w:rPr>
          <w:t>https://www.who.int/mental_health/evidence/guidelines_severe_mental_disorders_web_note_2018/en/</w:t>
        </w:r>
      </w:hyperlink>
    </w:p>
    <w:p w14:paraId="2385E556" w14:textId="77777777" w:rsidR="00400742" w:rsidRDefault="00400742" w:rsidP="00400742">
      <w:pPr>
        <w:rPr>
          <w:rStyle w:val="Hyperlink"/>
          <w:rFonts w:cs="Arial"/>
          <w:szCs w:val="24"/>
          <w:u w:val="none"/>
        </w:rPr>
      </w:pPr>
    </w:p>
    <w:p w14:paraId="62BBD1D5" w14:textId="77777777" w:rsidR="00400742" w:rsidRPr="00EC7CE5" w:rsidRDefault="00400742" w:rsidP="00400742">
      <w:pPr>
        <w:rPr>
          <w:rStyle w:val="Hyperlink"/>
          <w:rFonts w:cs="Arial"/>
          <w:szCs w:val="24"/>
          <w:u w:val="none"/>
        </w:rPr>
      </w:pPr>
      <w:r w:rsidRPr="00EC7CE5">
        <w:rPr>
          <w:rStyle w:val="Hyperlink"/>
          <w:rFonts w:cs="Arial"/>
          <w:color w:val="auto"/>
          <w:szCs w:val="24"/>
          <w:u w:val="none"/>
        </w:rPr>
        <w:t>Nice cg189: obesity: identification, assessment and management</w:t>
      </w:r>
      <w:r w:rsidRPr="00EC7CE5">
        <w:rPr>
          <w:rStyle w:val="Hyperlink"/>
          <w:rFonts w:cs="Arial"/>
          <w:szCs w:val="24"/>
          <w:u w:val="none"/>
        </w:rPr>
        <w:t xml:space="preserve"> </w:t>
      </w:r>
      <w:hyperlink r:id="rId28" w:history="1">
        <w:r w:rsidRPr="003A3B16">
          <w:rPr>
            <w:rStyle w:val="Hyperlink"/>
            <w:rFonts w:cs="Arial"/>
            <w:szCs w:val="24"/>
          </w:rPr>
          <w:t>https://www.nice.org.uk/guidance/cg189</w:t>
        </w:r>
      </w:hyperlink>
      <w:r>
        <w:rPr>
          <w:rStyle w:val="Hyperlink"/>
          <w:rFonts w:cs="Arial"/>
          <w:szCs w:val="24"/>
          <w:u w:val="none"/>
        </w:rPr>
        <w:t xml:space="preserve"> </w:t>
      </w:r>
    </w:p>
    <w:p w14:paraId="5A6DBE0E" w14:textId="77777777" w:rsidR="00400742" w:rsidRPr="00EC7CE5" w:rsidRDefault="00400742" w:rsidP="00400742">
      <w:pPr>
        <w:rPr>
          <w:rStyle w:val="Hyperlink"/>
          <w:rFonts w:cs="Arial"/>
          <w:szCs w:val="24"/>
          <w:u w:val="none"/>
        </w:rPr>
      </w:pPr>
    </w:p>
    <w:p w14:paraId="3F210B95" w14:textId="77777777" w:rsidR="00400742" w:rsidRDefault="00400742" w:rsidP="00400742">
      <w:pPr>
        <w:rPr>
          <w:rStyle w:val="Hyperlink"/>
          <w:rFonts w:cs="Arial"/>
          <w:szCs w:val="24"/>
          <w:u w:val="none"/>
        </w:rPr>
      </w:pPr>
      <w:r w:rsidRPr="00EC7CE5">
        <w:rPr>
          <w:rStyle w:val="Hyperlink"/>
          <w:rFonts w:cs="Arial"/>
          <w:color w:val="auto"/>
          <w:szCs w:val="24"/>
          <w:u w:val="none"/>
        </w:rPr>
        <w:t xml:space="preserve">NICE PH53 Weight management: lifestyle services for overweight and obese adults </w:t>
      </w:r>
      <w:hyperlink r:id="rId29" w:history="1">
        <w:r w:rsidRPr="003A3B16">
          <w:rPr>
            <w:rStyle w:val="Hyperlink"/>
            <w:rFonts w:cs="Arial"/>
            <w:szCs w:val="24"/>
          </w:rPr>
          <w:t>https://www.nice.org.uk/guidance/ph53</w:t>
        </w:r>
      </w:hyperlink>
    </w:p>
    <w:p w14:paraId="71C62D91" w14:textId="77777777" w:rsidR="00400742" w:rsidRPr="00EC7CE5" w:rsidRDefault="00400742" w:rsidP="00400742">
      <w:pPr>
        <w:rPr>
          <w:rStyle w:val="Hyperlink"/>
          <w:rFonts w:cs="Arial"/>
          <w:szCs w:val="24"/>
          <w:u w:val="none"/>
        </w:rPr>
      </w:pPr>
    </w:p>
    <w:p w14:paraId="5ACEF6BB" w14:textId="77777777" w:rsidR="00400742" w:rsidRDefault="00400742" w:rsidP="00400742">
      <w:pPr>
        <w:rPr>
          <w:rStyle w:val="Hyperlink"/>
          <w:rFonts w:cs="Arial"/>
          <w:szCs w:val="24"/>
          <w:u w:val="none"/>
        </w:rPr>
      </w:pPr>
      <w:r w:rsidRPr="00EC7CE5">
        <w:rPr>
          <w:rStyle w:val="Hyperlink"/>
          <w:rFonts w:cs="Arial"/>
          <w:color w:val="auto"/>
          <w:szCs w:val="24"/>
          <w:u w:val="none"/>
        </w:rPr>
        <w:t>PHE,</w:t>
      </w:r>
      <w:r w:rsidRPr="00EC7CE5">
        <w:rPr>
          <w:rStyle w:val="Hyperlink"/>
          <w:rFonts w:cs="Arial"/>
          <w:szCs w:val="24"/>
          <w:u w:val="none"/>
        </w:rPr>
        <w:t xml:space="preserve"> </w:t>
      </w:r>
      <w:r>
        <w:rPr>
          <w:rStyle w:val="Hyperlink"/>
          <w:rFonts w:cs="Arial"/>
          <w:color w:val="auto"/>
          <w:szCs w:val="24"/>
          <w:u w:val="none"/>
        </w:rPr>
        <w:t>A G</w:t>
      </w:r>
      <w:r w:rsidRPr="00EC7CE5">
        <w:rPr>
          <w:rStyle w:val="Hyperlink"/>
          <w:rFonts w:cs="Arial"/>
          <w:color w:val="auto"/>
          <w:szCs w:val="24"/>
          <w:u w:val="none"/>
        </w:rPr>
        <w:t>uide t</w:t>
      </w:r>
      <w:r>
        <w:rPr>
          <w:rStyle w:val="Hyperlink"/>
          <w:rFonts w:cs="Arial"/>
          <w:color w:val="auto"/>
          <w:szCs w:val="24"/>
          <w:u w:val="none"/>
        </w:rPr>
        <w:t>o Commissioning and Delivering T</w:t>
      </w:r>
      <w:r w:rsidRPr="00EC7CE5">
        <w:rPr>
          <w:rStyle w:val="Hyperlink"/>
          <w:rFonts w:cs="Arial"/>
          <w:color w:val="auto"/>
          <w:szCs w:val="24"/>
          <w:u w:val="none"/>
        </w:rPr>
        <w:t xml:space="preserve">ier </w:t>
      </w:r>
      <w:r>
        <w:rPr>
          <w:rStyle w:val="Hyperlink"/>
          <w:rFonts w:cs="Arial"/>
          <w:color w:val="auto"/>
          <w:szCs w:val="24"/>
          <w:u w:val="none"/>
        </w:rPr>
        <w:t>2 Adult Weight Management S</w:t>
      </w:r>
      <w:r w:rsidRPr="00EC7CE5">
        <w:rPr>
          <w:rStyle w:val="Hyperlink"/>
          <w:rFonts w:cs="Arial"/>
          <w:color w:val="auto"/>
          <w:szCs w:val="24"/>
          <w:u w:val="none"/>
        </w:rPr>
        <w:t xml:space="preserve">ervices </w:t>
      </w:r>
    </w:p>
    <w:p w14:paraId="50DC42DE" w14:textId="77777777" w:rsidR="00400742" w:rsidRPr="00EC7CE5" w:rsidRDefault="0047277D" w:rsidP="00400742">
      <w:pPr>
        <w:rPr>
          <w:rStyle w:val="Hyperlink"/>
          <w:rFonts w:cs="Arial"/>
          <w:szCs w:val="24"/>
          <w:u w:val="none"/>
        </w:rPr>
      </w:pPr>
      <w:hyperlink r:id="rId30" w:history="1">
        <w:r w:rsidR="00400742" w:rsidRPr="003A3B16">
          <w:rPr>
            <w:rStyle w:val="Hyperlink"/>
            <w:rFonts w:cs="Arial"/>
            <w:szCs w:val="24"/>
          </w:rPr>
          <w:t>https://www.gov.uk/government/publications/adult-weight-management-services-commission-and-provide</w:t>
        </w:r>
      </w:hyperlink>
      <w:r w:rsidR="00400742">
        <w:rPr>
          <w:rStyle w:val="Hyperlink"/>
          <w:rFonts w:cs="Arial"/>
          <w:szCs w:val="24"/>
          <w:u w:val="none"/>
        </w:rPr>
        <w:t xml:space="preserve"> </w:t>
      </w:r>
    </w:p>
    <w:p w14:paraId="2CFE1DCF" w14:textId="77777777" w:rsidR="00400742" w:rsidRDefault="00400742" w:rsidP="00400742">
      <w:pPr>
        <w:rPr>
          <w:rStyle w:val="Hyperlink"/>
          <w:rFonts w:cs="Arial"/>
          <w:szCs w:val="24"/>
          <w:u w:val="none"/>
        </w:rPr>
      </w:pPr>
    </w:p>
    <w:p w14:paraId="2BCA5BE7" w14:textId="77777777" w:rsidR="00400742" w:rsidRPr="00DD3EF8" w:rsidRDefault="00400742" w:rsidP="00400742">
      <w:pPr>
        <w:rPr>
          <w:rFonts w:cs="Arial"/>
          <w:szCs w:val="24"/>
        </w:rPr>
      </w:pPr>
    </w:p>
    <w:p w14:paraId="0D346E42" w14:textId="77777777" w:rsidR="00400742" w:rsidRPr="00E75D62" w:rsidRDefault="00400742" w:rsidP="00400742">
      <w:pPr>
        <w:pStyle w:val="ListParagraph"/>
        <w:numPr>
          <w:ilvl w:val="0"/>
          <w:numId w:val="30"/>
        </w:numPr>
        <w:rPr>
          <w:rFonts w:cs="Arial"/>
          <w:b/>
          <w:szCs w:val="24"/>
        </w:rPr>
      </w:pPr>
      <w:r w:rsidRPr="00E75D62">
        <w:rPr>
          <w:rFonts w:cs="Arial"/>
          <w:b/>
          <w:szCs w:val="24"/>
        </w:rPr>
        <w:t>Why change is required</w:t>
      </w:r>
    </w:p>
    <w:p w14:paraId="2F769C70" w14:textId="77777777" w:rsidR="00400742" w:rsidRDefault="00400742" w:rsidP="00400742">
      <w:pPr>
        <w:rPr>
          <w:rFonts w:cs="Arial"/>
          <w:szCs w:val="24"/>
        </w:rPr>
      </w:pPr>
    </w:p>
    <w:p w14:paraId="745C52F2" w14:textId="77777777" w:rsidR="00400742" w:rsidRPr="00DD3EF8" w:rsidRDefault="00400742" w:rsidP="00400742">
      <w:pPr>
        <w:rPr>
          <w:rFonts w:cs="Arial"/>
          <w:szCs w:val="24"/>
        </w:rPr>
      </w:pPr>
      <w:r w:rsidRPr="00DD3EF8">
        <w:rPr>
          <w:rFonts w:cs="Arial"/>
          <w:szCs w:val="24"/>
        </w:rPr>
        <w:t>Providers should consider the following when demonstrating their understanding of why change is required in each service</w:t>
      </w:r>
      <w:r>
        <w:rPr>
          <w:rFonts w:cs="Arial"/>
          <w:szCs w:val="24"/>
        </w:rPr>
        <w:t xml:space="preserve">, the reference documents in the links above should help in framing the approach. </w:t>
      </w:r>
    </w:p>
    <w:p w14:paraId="14E6FB16" w14:textId="77777777" w:rsidR="00400742" w:rsidRPr="0001254D" w:rsidRDefault="00400742" w:rsidP="00400742">
      <w:pPr>
        <w:rPr>
          <w:rFonts w:cs="Arial"/>
          <w:b/>
          <w:szCs w:val="24"/>
        </w:rPr>
      </w:pPr>
    </w:p>
    <w:p w14:paraId="7C3B477E" w14:textId="77777777" w:rsidR="00400742" w:rsidRPr="0001254D" w:rsidRDefault="00400742" w:rsidP="00400742">
      <w:pPr>
        <w:pStyle w:val="ListParagraph"/>
        <w:numPr>
          <w:ilvl w:val="0"/>
          <w:numId w:val="12"/>
        </w:numPr>
        <w:rPr>
          <w:rFonts w:cs="Arial"/>
          <w:szCs w:val="24"/>
        </w:rPr>
      </w:pPr>
      <w:r>
        <w:rPr>
          <w:rFonts w:cs="Arial"/>
          <w:szCs w:val="24"/>
        </w:rPr>
        <w:t xml:space="preserve">Provider should </w:t>
      </w:r>
      <w:r w:rsidRPr="0001254D">
        <w:rPr>
          <w:rFonts w:cs="Arial"/>
          <w:szCs w:val="24"/>
        </w:rPr>
        <w:t xml:space="preserve">identify where action needed to improve the obesogenic environment in secure settings, for example: </w:t>
      </w:r>
    </w:p>
    <w:p w14:paraId="09329813" w14:textId="77777777" w:rsidR="00400742" w:rsidRPr="0001254D" w:rsidRDefault="00400742" w:rsidP="00400742">
      <w:pPr>
        <w:rPr>
          <w:rFonts w:cs="Arial"/>
          <w:szCs w:val="24"/>
        </w:rPr>
      </w:pPr>
    </w:p>
    <w:p w14:paraId="7500C892" w14:textId="77777777" w:rsidR="00400742" w:rsidRPr="0001254D" w:rsidRDefault="00400742" w:rsidP="00400742">
      <w:pPr>
        <w:pStyle w:val="ListParagraph"/>
        <w:numPr>
          <w:ilvl w:val="0"/>
          <w:numId w:val="11"/>
        </w:numPr>
        <w:rPr>
          <w:rFonts w:cs="Arial"/>
          <w:szCs w:val="24"/>
        </w:rPr>
      </w:pPr>
      <w:r w:rsidRPr="0001254D">
        <w:rPr>
          <w:rFonts w:cs="Arial"/>
          <w:szCs w:val="24"/>
        </w:rPr>
        <w:t xml:space="preserve">Addressing food policies such as food </w:t>
      </w:r>
      <w:r>
        <w:rPr>
          <w:rFonts w:cs="Arial"/>
          <w:szCs w:val="24"/>
        </w:rPr>
        <w:t xml:space="preserve">and drink </w:t>
      </w:r>
      <w:r w:rsidRPr="0001254D">
        <w:rPr>
          <w:rFonts w:cs="Arial"/>
          <w:szCs w:val="24"/>
        </w:rPr>
        <w:t>provision; patient access to takeaway meals an</w:t>
      </w:r>
      <w:r>
        <w:rPr>
          <w:rFonts w:cs="Arial"/>
          <w:szCs w:val="24"/>
        </w:rPr>
        <w:t>d shop product selection</w:t>
      </w:r>
      <w:r w:rsidRPr="0001254D">
        <w:rPr>
          <w:rFonts w:cs="Arial"/>
          <w:szCs w:val="24"/>
        </w:rPr>
        <w:t xml:space="preserve"> </w:t>
      </w:r>
    </w:p>
    <w:p w14:paraId="3A1B87AB" w14:textId="77777777" w:rsidR="00400742" w:rsidRPr="0001254D" w:rsidRDefault="00400742" w:rsidP="00400742">
      <w:pPr>
        <w:pStyle w:val="ListParagraph"/>
        <w:numPr>
          <w:ilvl w:val="0"/>
          <w:numId w:val="11"/>
        </w:numPr>
        <w:rPr>
          <w:rFonts w:cs="Arial"/>
          <w:szCs w:val="24"/>
        </w:rPr>
      </w:pPr>
      <w:r w:rsidRPr="0001254D">
        <w:rPr>
          <w:rFonts w:cs="Arial"/>
          <w:szCs w:val="24"/>
        </w:rPr>
        <w:t xml:space="preserve">Ensuring that there is access to green space and meaningful activities and that appropriate health promotion equipment is in place. </w:t>
      </w:r>
    </w:p>
    <w:p w14:paraId="4D30840F" w14:textId="77777777" w:rsidR="00400742" w:rsidRPr="0001254D" w:rsidRDefault="00400742" w:rsidP="00400742">
      <w:pPr>
        <w:rPr>
          <w:rFonts w:cs="Arial"/>
          <w:szCs w:val="24"/>
        </w:rPr>
      </w:pPr>
    </w:p>
    <w:p w14:paraId="59472497" w14:textId="77777777" w:rsidR="00400742" w:rsidRDefault="00400742" w:rsidP="00400742">
      <w:pPr>
        <w:pStyle w:val="ListParagraph"/>
        <w:numPr>
          <w:ilvl w:val="0"/>
          <w:numId w:val="12"/>
        </w:numPr>
        <w:rPr>
          <w:rFonts w:cs="Arial"/>
          <w:szCs w:val="24"/>
        </w:rPr>
      </w:pPr>
      <w:r>
        <w:rPr>
          <w:rFonts w:cs="Arial"/>
          <w:szCs w:val="24"/>
        </w:rPr>
        <w:t>P</w:t>
      </w:r>
      <w:r w:rsidRPr="0001254D">
        <w:rPr>
          <w:rFonts w:cs="Arial"/>
          <w:szCs w:val="24"/>
        </w:rPr>
        <w:t xml:space="preserve">roviders to </w:t>
      </w:r>
      <w:r>
        <w:rPr>
          <w:rFonts w:cs="Arial"/>
          <w:szCs w:val="24"/>
        </w:rPr>
        <w:t xml:space="preserve">review their approaches to and resources for </w:t>
      </w:r>
      <w:r w:rsidRPr="0001254D">
        <w:rPr>
          <w:rFonts w:cs="Arial"/>
          <w:szCs w:val="24"/>
        </w:rPr>
        <w:t xml:space="preserve">health promotion </w:t>
      </w:r>
      <w:r>
        <w:rPr>
          <w:rFonts w:cs="Arial"/>
          <w:szCs w:val="24"/>
        </w:rPr>
        <w:t xml:space="preserve">including </w:t>
      </w:r>
    </w:p>
    <w:p w14:paraId="19539956" w14:textId="77777777" w:rsidR="00400742" w:rsidRDefault="00400742" w:rsidP="00400742">
      <w:pPr>
        <w:pStyle w:val="ListParagraph"/>
        <w:rPr>
          <w:rFonts w:cs="Arial"/>
          <w:szCs w:val="24"/>
        </w:rPr>
      </w:pPr>
    </w:p>
    <w:p w14:paraId="372E41F9" w14:textId="77777777" w:rsidR="00400742" w:rsidRPr="0018544B" w:rsidRDefault="00400742" w:rsidP="00400742">
      <w:pPr>
        <w:pStyle w:val="ListParagraph"/>
        <w:numPr>
          <w:ilvl w:val="0"/>
          <w:numId w:val="14"/>
        </w:numPr>
        <w:rPr>
          <w:rFonts w:cs="Arial"/>
          <w:szCs w:val="24"/>
        </w:rPr>
      </w:pPr>
      <w:r w:rsidRPr="0018544B">
        <w:rPr>
          <w:rFonts w:cs="Arial"/>
          <w:szCs w:val="24"/>
        </w:rPr>
        <w:t xml:space="preserve">health improvement training so that service staff </w:t>
      </w:r>
      <w:r>
        <w:rPr>
          <w:rFonts w:cs="Arial"/>
          <w:szCs w:val="24"/>
        </w:rPr>
        <w:t xml:space="preserve">understand and </w:t>
      </w:r>
      <w:r w:rsidRPr="0018544B">
        <w:rPr>
          <w:rFonts w:cs="Arial"/>
          <w:szCs w:val="24"/>
        </w:rPr>
        <w:t xml:space="preserve">can </w:t>
      </w:r>
      <w:r>
        <w:rPr>
          <w:rFonts w:cs="Arial"/>
          <w:szCs w:val="24"/>
        </w:rPr>
        <w:t xml:space="preserve">confidently </w:t>
      </w:r>
      <w:r w:rsidRPr="0018544B">
        <w:rPr>
          <w:rFonts w:cs="Arial"/>
          <w:szCs w:val="24"/>
        </w:rPr>
        <w:t xml:space="preserve">support lifestyle change interventions as part of delivering holistic health care. Training would include: </w:t>
      </w:r>
    </w:p>
    <w:p w14:paraId="04A5BD1C" w14:textId="77777777" w:rsidR="00400742" w:rsidRPr="0018544B" w:rsidRDefault="00400742" w:rsidP="00400742">
      <w:pPr>
        <w:pStyle w:val="ListParagraph"/>
        <w:numPr>
          <w:ilvl w:val="1"/>
          <w:numId w:val="13"/>
        </w:numPr>
        <w:rPr>
          <w:rFonts w:cs="Arial"/>
          <w:szCs w:val="24"/>
        </w:rPr>
      </w:pPr>
      <w:r>
        <w:rPr>
          <w:rFonts w:cs="Arial"/>
          <w:szCs w:val="24"/>
        </w:rPr>
        <w:t>Eating healthily and achieving a balanced diet</w:t>
      </w:r>
      <w:r w:rsidRPr="0018544B">
        <w:rPr>
          <w:rFonts w:cs="Arial"/>
          <w:szCs w:val="24"/>
        </w:rPr>
        <w:t xml:space="preserve"> </w:t>
      </w:r>
    </w:p>
    <w:p w14:paraId="655491DE" w14:textId="77777777" w:rsidR="00400742" w:rsidRPr="0018544B" w:rsidRDefault="00400742" w:rsidP="00400742">
      <w:pPr>
        <w:pStyle w:val="ListParagraph"/>
        <w:numPr>
          <w:ilvl w:val="1"/>
          <w:numId w:val="13"/>
        </w:numPr>
        <w:rPr>
          <w:rFonts w:cs="Arial"/>
          <w:szCs w:val="24"/>
        </w:rPr>
      </w:pPr>
      <w:r w:rsidRPr="0018544B">
        <w:rPr>
          <w:rFonts w:cs="Arial"/>
          <w:szCs w:val="24"/>
        </w:rPr>
        <w:t xml:space="preserve">Physical activity </w:t>
      </w:r>
    </w:p>
    <w:p w14:paraId="786CE26A" w14:textId="77777777" w:rsidR="00400742" w:rsidRPr="0018544B" w:rsidRDefault="00400742" w:rsidP="00400742">
      <w:pPr>
        <w:pStyle w:val="ListParagraph"/>
        <w:numPr>
          <w:ilvl w:val="1"/>
          <w:numId w:val="13"/>
        </w:numPr>
        <w:rPr>
          <w:rFonts w:cs="Arial"/>
          <w:szCs w:val="24"/>
        </w:rPr>
      </w:pPr>
      <w:r w:rsidRPr="0018544B">
        <w:rPr>
          <w:rFonts w:cs="Arial"/>
          <w:szCs w:val="24"/>
        </w:rPr>
        <w:t xml:space="preserve">Mental wellbeing, such as making use of the NHS Making Every Contact Count programme </w:t>
      </w:r>
    </w:p>
    <w:p w14:paraId="0436E483" w14:textId="77777777" w:rsidR="00400742" w:rsidRPr="00FB68C0" w:rsidRDefault="00400742" w:rsidP="00400742">
      <w:pPr>
        <w:pStyle w:val="ListParagraph"/>
        <w:numPr>
          <w:ilvl w:val="0"/>
          <w:numId w:val="13"/>
        </w:numPr>
        <w:ind w:left="993" w:hanging="284"/>
        <w:rPr>
          <w:rFonts w:cs="Arial"/>
          <w:b/>
          <w:szCs w:val="24"/>
        </w:rPr>
      </w:pPr>
      <w:r>
        <w:rPr>
          <w:rFonts w:cs="Arial"/>
          <w:szCs w:val="24"/>
        </w:rPr>
        <w:t xml:space="preserve">Care and planning </w:t>
      </w:r>
      <w:r w:rsidRPr="0001254D">
        <w:rPr>
          <w:rFonts w:cs="Arial"/>
          <w:szCs w:val="24"/>
        </w:rPr>
        <w:t xml:space="preserve">approaches are </w:t>
      </w:r>
      <w:r>
        <w:rPr>
          <w:rFonts w:cs="Arial"/>
          <w:szCs w:val="24"/>
        </w:rPr>
        <w:t xml:space="preserve">co-produced and </w:t>
      </w:r>
      <w:r w:rsidRPr="0001254D">
        <w:rPr>
          <w:rFonts w:cs="Arial"/>
          <w:szCs w:val="24"/>
        </w:rPr>
        <w:t>tailored to the</w:t>
      </w:r>
      <w:r>
        <w:rPr>
          <w:rFonts w:cs="Arial"/>
          <w:szCs w:val="24"/>
        </w:rPr>
        <w:t xml:space="preserve"> specific needs of patients considering</w:t>
      </w:r>
      <w:r w:rsidRPr="0001254D">
        <w:rPr>
          <w:rFonts w:cs="Arial"/>
          <w:szCs w:val="24"/>
        </w:rPr>
        <w:t xml:space="preserve"> their gender, </w:t>
      </w:r>
      <w:r>
        <w:rPr>
          <w:rFonts w:cs="Arial"/>
          <w:szCs w:val="24"/>
        </w:rPr>
        <w:t xml:space="preserve">physical health </w:t>
      </w:r>
      <w:r w:rsidRPr="0001254D">
        <w:rPr>
          <w:rFonts w:cs="Arial"/>
          <w:szCs w:val="24"/>
        </w:rPr>
        <w:t>condition</w:t>
      </w:r>
      <w:r>
        <w:rPr>
          <w:rFonts w:cs="Arial"/>
          <w:szCs w:val="24"/>
        </w:rPr>
        <w:t>s and associated risks and medication. Plans may include referral to appropriate weight management services.</w:t>
      </w:r>
    </w:p>
    <w:p w14:paraId="48E92D90" w14:textId="77777777" w:rsidR="00400742" w:rsidRDefault="00400742" w:rsidP="00400742">
      <w:pPr>
        <w:rPr>
          <w:rFonts w:cs="Arial"/>
          <w:b/>
          <w:szCs w:val="24"/>
        </w:rPr>
      </w:pPr>
    </w:p>
    <w:p w14:paraId="3485BB17" w14:textId="77777777" w:rsidR="00400742" w:rsidRPr="00E75D62" w:rsidRDefault="00400742" w:rsidP="00400742">
      <w:pPr>
        <w:pStyle w:val="ListParagraph"/>
        <w:numPr>
          <w:ilvl w:val="0"/>
          <w:numId w:val="12"/>
        </w:numPr>
        <w:rPr>
          <w:rFonts w:cs="Arial"/>
          <w:b/>
          <w:szCs w:val="24"/>
        </w:rPr>
      </w:pPr>
      <w:r w:rsidRPr="00E75D62">
        <w:rPr>
          <w:rFonts w:cs="Arial"/>
          <w:b/>
          <w:szCs w:val="24"/>
        </w:rPr>
        <w:t>Ideas to support implementation</w:t>
      </w:r>
    </w:p>
    <w:p w14:paraId="096729AA" w14:textId="77777777" w:rsidR="00400742" w:rsidRDefault="00400742" w:rsidP="00400742">
      <w:pPr>
        <w:rPr>
          <w:rFonts w:cs="Arial"/>
          <w:b/>
          <w:szCs w:val="24"/>
        </w:rPr>
      </w:pPr>
    </w:p>
    <w:p w14:paraId="55B61D19" w14:textId="77777777" w:rsidR="00400742" w:rsidRPr="00FB68C0" w:rsidRDefault="00400742" w:rsidP="00400742">
      <w:pPr>
        <w:rPr>
          <w:rFonts w:cs="Arial"/>
          <w:szCs w:val="24"/>
        </w:rPr>
      </w:pPr>
      <w:r>
        <w:rPr>
          <w:rFonts w:cs="Arial"/>
          <w:szCs w:val="24"/>
        </w:rPr>
        <w:t>Providers may wish to consider</w:t>
      </w:r>
    </w:p>
    <w:p w14:paraId="468726B7" w14:textId="77777777" w:rsidR="00400742" w:rsidRPr="00FB68C0" w:rsidRDefault="00400742" w:rsidP="00400742">
      <w:pPr>
        <w:rPr>
          <w:rFonts w:cs="Arial"/>
          <w:b/>
          <w:szCs w:val="24"/>
        </w:rPr>
      </w:pPr>
    </w:p>
    <w:p w14:paraId="49E52421" w14:textId="77777777" w:rsidR="00400742" w:rsidRPr="00FB68C0" w:rsidRDefault="00400742" w:rsidP="00400742">
      <w:pPr>
        <w:pStyle w:val="ListParagraph"/>
        <w:numPr>
          <w:ilvl w:val="0"/>
          <w:numId w:val="29"/>
        </w:numPr>
        <w:rPr>
          <w:szCs w:val="24"/>
        </w:rPr>
      </w:pPr>
      <w:r w:rsidRPr="00FB68C0">
        <w:rPr>
          <w:szCs w:val="24"/>
        </w:rPr>
        <w:t>Establishing a healthy living group (HLG) and a physical health monitoring group (PHMG) comprised of patients, carers and clinical and non-clinical staff accountable to the senior management team</w:t>
      </w:r>
    </w:p>
    <w:p w14:paraId="76A7E42C" w14:textId="77777777" w:rsidR="00400742" w:rsidRPr="008C386A" w:rsidRDefault="00400742" w:rsidP="00400742">
      <w:pPr>
        <w:pStyle w:val="ListParagraph"/>
        <w:numPr>
          <w:ilvl w:val="0"/>
          <w:numId w:val="29"/>
        </w:numPr>
        <w:rPr>
          <w:rFonts w:cs="Arial"/>
          <w:szCs w:val="24"/>
        </w:rPr>
      </w:pPr>
      <w:r w:rsidRPr="008C386A">
        <w:rPr>
          <w:rFonts w:cs="Arial"/>
          <w:szCs w:val="24"/>
        </w:rPr>
        <w:t>Establishing each service’s baseline for</w:t>
      </w:r>
    </w:p>
    <w:p w14:paraId="21E95230" w14:textId="77777777" w:rsidR="00400742" w:rsidRDefault="00400742" w:rsidP="00400742">
      <w:pPr>
        <w:pStyle w:val="ListParagraph"/>
        <w:numPr>
          <w:ilvl w:val="1"/>
          <w:numId w:val="29"/>
        </w:numPr>
        <w:rPr>
          <w:rFonts w:cs="Arial"/>
          <w:szCs w:val="24"/>
        </w:rPr>
      </w:pPr>
      <w:r w:rsidRPr="008C386A">
        <w:rPr>
          <w:rFonts w:cs="Arial"/>
          <w:szCs w:val="24"/>
        </w:rPr>
        <w:t>Whole dining experience including: expenditure per head, arrangements for/at</w:t>
      </w:r>
      <w:r>
        <w:rPr>
          <w:rFonts w:cs="Arial"/>
          <w:szCs w:val="24"/>
        </w:rPr>
        <w:t>/outside of</w:t>
      </w:r>
      <w:r w:rsidRPr="008C386A">
        <w:rPr>
          <w:rFonts w:cs="Arial"/>
          <w:szCs w:val="24"/>
        </w:rPr>
        <w:t xml:space="preserve"> meal times, </w:t>
      </w:r>
      <w:r>
        <w:rPr>
          <w:rFonts w:cs="Arial"/>
          <w:szCs w:val="24"/>
        </w:rPr>
        <w:t xml:space="preserve">compliance with mandatory hospital food standards, </w:t>
      </w:r>
      <w:r w:rsidRPr="008C386A">
        <w:rPr>
          <w:rFonts w:cs="Arial"/>
          <w:szCs w:val="24"/>
        </w:rPr>
        <w:t xml:space="preserve">access to non-hospital food </w:t>
      </w:r>
      <w:r>
        <w:rPr>
          <w:rFonts w:cs="Arial"/>
          <w:szCs w:val="24"/>
        </w:rPr>
        <w:t xml:space="preserve">and drink </w:t>
      </w:r>
      <w:r w:rsidRPr="008C386A">
        <w:rPr>
          <w:rFonts w:cs="Arial"/>
          <w:szCs w:val="24"/>
        </w:rPr>
        <w:t>including patient shop, take-aways and use of patient leave</w:t>
      </w:r>
      <w:r>
        <w:rPr>
          <w:rFonts w:cs="Arial"/>
          <w:szCs w:val="24"/>
        </w:rPr>
        <w:t xml:space="preserve"> and types of  </w:t>
      </w:r>
      <w:r w:rsidRPr="008C386A">
        <w:rPr>
          <w:rFonts w:cs="Arial"/>
          <w:szCs w:val="24"/>
        </w:rPr>
        <w:t xml:space="preserve">pre-packed meals/snacks </w:t>
      </w:r>
      <w:r>
        <w:rPr>
          <w:rFonts w:cs="Arial"/>
          <w:szCs w:val="24"/>
        </w:rPr>
        <w:t>available including less healthy food and drink choices such as sugar-sweetened drinks, savoury snacks, confectionary and pre-packed products labelled as high in fat, saturated fat, sugar or salt</w:t>
      </w:r>
    </w:p>
    <w:p w14:paraId="0F02CBFD" w14:textId="77777777" w:rsidR="00400742" w:rsidRPr="008C386A" w:rsidRDefault="00400742" w:rsidP="00400742">
      <w:pPr>
        <w:pStyle w:val="ListParagraph"/>
        <w:numPr>
          <w:ilvl w:val="1"/>
          <w:numId w:val="29"/>
        </w:numPr>
        <w:rPr>
          <w:rFonts w:cs="Arial"/>
          <w:szCs w:val="24"/>
        </w:rPr>
      </w:pPr>
      <w:r>
        <w:rPr>
          <w:rFonts w:cs="Arial"/>
          <w:szCs w:val="24"/>
        </w:rPr>
        <w:t>Information and support for carers regarding appropriate choices around food and drink they may bring to the unit and provide on home visits</w:t>
      </w:r>
    </w:p>
    <w:p w14:paraId="7958667F" w14:textId="77777777" w:rsidR="00400742" w:rsidRPr="008C386A" w:rsidRDefault="00400742" w:rsidP="00400742">
      <w:pPr>
        <w:pStyle w:val="ListParagraph"/>
        <w:numPr>
          <w:ilvl w:val="1"/>
          <w:numId w:val="29"/>
        </w:numPr>
        <w:rPr>
          <w:rFonts w:cs="Arial"/>
          <w:szCs w:val="24"/>
        </w:rPr>
      </w:pPr>
      <w:r w:rsidRPr="008C386A">
        <w:rPr>
          <w:rFonts w:cs="Arial"/>
          <w:szCs w:val="24"/>
        </w:rPr>
        <w:t>BMI, physical and activity indicators for all patients using the Simple Physical Activity Questionnaire (SPAQ a 5-item clinical tool designed to assess physical activity)</w:t>
      </w:r>
    </w:p>
    <w:p w14:paraId="4F61222D" w14:textId="77777777" w:rsidR="00400742" w:rsidRPr="008C386A" w:rsidRDefault="00400742" w:rsidP="00400742">
      <w:pPr>
        <w:pStyle w:val="ListParagraph"/>
        <w:numPr>
          <w:ilvl w:val="1"/>
          <w:numId w:val="29"/>
        </w:numPr>
        <w:rPr>
          <w:rFonts w:cs="Arial"/>
          <w:szCs w:val="24"/>
        </w:rPr>
      </w:pPr>
      <w:r w:rsidRPr="008C386A">
        <w:rPr>
          <w:rFonts w:cs="Arial"/>
          <w:szCs w:val="24"/>
        </w:rPr>
        <w:t>patient wellbeing scores using existing tool such as HONOS</w:t>
      </w:r>
    </w:p>
    <w:p w14:paraId="5C6904EB" w14:textId="77777777" w:rsidR="00400742" w:rsidRPr="008C386A" w:rsidRDefault="00400742" w:rsidP="00400742">
      <w:pPr>
        <w:pStyle w:val="ListParagraph"/>
        <w:numPr>
          <w:ilvl w:val="0"/>
          <w:numId w:val="29"/>
        </w:numPr>
        <w:rPr>
          <w:rFonts w:cs="Arial"/>
          <w:szCs w:val="24"/>
        </w:rPr>
      </w:pPr>
      <w:r>
        <w:rPr>
          <w:rFonts w:cs="Arial"/>
          <w:szCs w:val="24"/>
        </w:rPr>
        <w:lastRenderedPageBreak/>
        <w:t xml:space="preserve">Identifying </w:t>
      </w:r>
      <w:r w:rsidRPr="008C386A">
        <w:rPr>
          <w:rFonts w:cs="Arial"/>
          <w:szCs w:val="24"/>
        </w:rPr>
        <w:t>Physical Activity Champions (experts by experience, carers and staff) to enable patients to get active through combination of 1:1 and/or group support</w:t>
      </w:r>
    </w:p>
    <w:p w14:paraId="43EE8CC7" w14:textId="77777777" w:rsidR="00400742" w:rsidRPr="008C386A" w:rsidRDefault="00400742" w:rsidP="00400742">
      <w:pPr>
        <w:pStyle w:val="ListParagraph"/>
        <w:numPr>
          <w:ilvl w:val="0"/>
          <w:numId w:val="29"/>
        </w:numPr>
        <w:rPr>
          <w:rFonts w:cs="Arial"/>
          <w:szCs w:val="24"/>
        </w:rPr>
      </w:pPr>
      <w:r>
        <w:rPr>
          <w:rFonts w:cs="Arial"/>
          <w:color w:val="0E0E0E"/>
          <w:szCs w:val="24"/>
        </w:rPr>
        <w:t>Identifying</w:t>
      </w:r>
      <w:r w:rsidRPr="008C386A">
        <w:rPr>
          <w:rFonts w:cs="Arial"/>
          <w:color w:val="0E0E0E"/>
          <w:szCs w:val="24"/>
        </w:rPr>
        <w:t xml:space="preserve"> quality metrics measuring </w:t>
      </w:r>
      <w:r>
        <w:rPr>
          <w:rFonts w:cs="Arial"/>
          <w:color w:val="0E0E0E"/>
          <w:szCs w:val="24"/>
        </w:rPr>
        <w:t>but not limited to for example</w:t>
      </w:r>
    </w:p>
    <w:p w14:paraId="319B8D3A" w14:textId="77777777" w:rsidR="00400742" w:rsidRPr="00183EB0" w:rsidRDefault="00400742" w:rsidP="00400742">
      <w:pPr>
        <w:pStyle w:val="ListParagraph"/>
        <w:numPr>
          <w:ilvl w:val="0"/>
          <w:numId w:val="26"/>
        </w:numPr>
        <w:ind w:left="1080"/>
        <w:rPr>
          <w:rFonts w:cs="Arial"/>
          <w:szCs w:val="24"/>
        </w:rPr>
      </w:pPr>
      <w:r w:rsidRPr="00183EB0">
        <w:rPr>
          <w:rFonts w:cs="Arial"/>
          <w:szCs w:val="24"/>
        </w:rPr>
        <w:t>Increases in staff knowledge and confidence.</w:t>
      </w:r>
    </w:p>
    <w:p w14:paraId="3785C93B" w14:textId="77777777" w:rsidR="00400742" w:rsidRPr="00183EB0" w:rsidRDefault="00400742" w:rsidP="00400742">
      <w:pPr>
        <w:pStyle w:val="ListParagraph"/>
        <w:numPr>
          <w:ilvl w:val="0"/>
          <w:numId w:val="22"/>
        </w:numPr>
        <w:ind w:left="1080"/>
        <w:rPr>
          <w:szCs w:val="24"/>
        </w:rPr>
      </w:pPr>
      <w:r w:rsidRPr="00183EB0">
        <w:rPr>
          <w:szCs w:val="24"/>
        </w:rPr>
        <w:t>Improved level of patient uptake in physical activities and healthy food options as measured by the SPAQ, BMI and wellbeing measures</w:t>
      </w:r>
    </w:p>
    <w:p w14:paraId="2285AA23" w14:textId="77777777" w:rsidR="00400742" w:rsidRPr="00FB68C0" w:rsidRDefault="00400742" w:rsidP="00400742">
      <w:pPr>
        <w:rPr>
          <w:rFonts w:cs="Arial"/>
          <w:b/>
          <w:szCs w:val="24"/>
        </w:rPr>
      </w:pPr>
    </w:p>
    <w:p w14:paraId="7CDCC20D" w14:textId="77777777" w:rsidR="00400742" w:rsidRPr="00E75D62" w:rsidRDefault="00400742" w:rsidP="00400742">
      <w:pPr>
        <w:pStyle w:val="ListParagraph"/>
        <w:numPr>
          <w:ilvl w:val="0"/>
          <w:numId w:val="12"/>
        </w:numPr>
        <w:rPr>
          <w:rFonts w:cs="Arial"/>
          <w:b/>
          <w:szCs w:val="24"/>
        </w:rPr>
      </w:pPr>
      <w:r w:rsidRPr="00E75D62">
        <w:rPr>
          <w:rFonts w:cs="Arial"/>
          <w:b/>
          <w:szCs w:val="24"/>
        </w:rPr>
        <w:t>Numerator and denominator for assessing sugary drinks and snacks</w:t>
      </w:r>
    </w:p>
    <w:p w14:paraId="3C0D558C" w14:textId="77777777" w:rsidR="00400742" w:rsidRPr="00CC2C89" w:rsidRDefault="00400742" w:rsidP="00400742">
      <w:pPr>
        <w:rPr>
          <w:rFonts w:cs="Arial"/>
          <w:b/>
          <w:szCs w:val="24"/>
        </w:rPr>
      </w:pPr>
    </w:p>
    <w:p w14:paraId="6697BA31" w14:textId="77777777" w:rsidR="00400742" w:rsidRDefault="00400742" w:rsidP="00400742">
      <w:r>
        <w:rPr>
          <w:rFonts w:eastAsiaTheme="minorEastAsia" w:cs="Arial"/>
          <w:szCs w:val="24"/>
        </w:rPr>
        <w:t>In line with GBSF and PHE guidance, b</w:t>
      </w:r>
      <w:r>
        <w:t>aseline audit of menus and stock held in patient shop should measure provision of SSBs, confectionery, sweets and pre-packaged food by the following indicators</w:t>
      </w:r>
    </w:p>
    <w:p w14:paraId="65CEDDF0" w14:textId="77777777" w:rsidR="00400742" w:rsidRDefault="00400742" w:rsidP="00400742"/>
    <w:p w14:paraId="4C252EDB" w14:textId="77777777" w:rsidR="00400742" w:rsidRDefault="00400742" w:rsidP="00400742">
      <w:pPr>
        <w:pStyle w:val="ListParagraph"/>
        <w:numPr>
          <w:ilvl w:val="0"/>
          <w:numId w:val="7"/>
        </w:numPr>
      </w:pPr>
      <w:r>
        <w:t>SSBs: The numerator is the total volume of sugary drinks sold/provided in litres (based on this criterion). The denominator is the total volume of all drinks sold /available in litres</w:t>
      </w:r>
    </w:p>
    <w:p w14:paraId="49836C43" w14:textId="77777777" w:rsidR="00400742" w:rsidRDefault="00400742" w:rsidP="00400742">
      <w:pPr>
        <w:pStyle w:val="ListParagraph"/>
        <w:numPr>
          <w:ilvl w:val="0"/>
          <w:numId w:val="7"/>
        </w:numPr>
      </w:pPr>
      <w:r>
        <w:t>Confectionery and sweets: The numerator is the total amount of confectionary and sweets packets stocked/available over 250kcal. The denominator is the amount of confectionary and sweet packets stocked/available in total (regardless of caloric content)</w:t>
      </w:r>
    </w:p>
    <w:p w14:paraId="51DD24F9" w14:textId="77777777" w:rsidR="00400742" w:rsidRDefault="00400742" w:rsidP="00400742">
      <w:pPr>
        <w:pStyle w:val="ListParagraph"/>
        <w:numPr>
          <w:ilvl w:val="0"/>
          <w:numId w:val="7"/>
        </w:numPr>
      </w:pPr>
      <w:r>
        <w:t>Pre-packed food: The numerator is the total amount of prepacked sandwiches and other savoury prepacked stocked /available. The denominator is the total amount of prepacked sandwiches and other savoury snacks not meeting these criteria stocked/available.</w:t>
      </w:r>
    </w:p>
    <w:p w14:paraId="2BE04E1C" w14:textId="77777777" w:rsidR="00400742" w:rsidRDefault="00400742" w:rsidP="00400742"/>
    <w:p w14:paraId="57213FFE" w14:textId="77777777" w:rsidR="00400742" w:rsidRDefault="00400742" w:rsidP="00400742">
      <w:pPr>
        <w:pStyle w:val="ListParagraph"/>
        <w:numPr>
          <w:ilvl w:val="0"/>
          <w:numId w:val="12"/>
        </w:numPr>
        <w:autoSpaceDE w:val="0"/>
        <w:autoSpaceDN w:val="0"/>
        <w:adjustRightInd w:val="0"/>
        <w:spacing w:after="164"/>
        <w:rPr>
          <w:rFonts w:eastAsiaTheme="minorHAnsi" w:cs="Arial"/>
          <w:b/>
          <w:color w:val="000000"/>
          <w:szCs w:val="24"/>
        </w:rPr>
      </w:pPr>
      <w:r w:rsidRPr="00E75D62">
        <w:rPr>
          <w:rFonts w:eastAsiaTheme="minorHAnsi" w:cs="Arial"/>
          <w:b/>
          <w:color w:val="000000"/>
          <w:szCs w:val="24"/>
        </w:rPr>
        <w:t>Physical Activity Guidance from Department of Health for Adults</w:t>
      </w:r>
    </w:p>
    <w:p w14:paraId="31A0D97A" w14:textId="77777777" w:rsidR="00400742" w:rsidRPr="00E75D62" w:rsidRDefault="00400742" w:rsidP="00400742">
      <w:pPr>
        <w:pStyle w:val="ListParagraph"/>
        <w:autoSpaceDE w:val="0"/>
        <w:autoSpaceDN w:val="0"/>
        <w:adjustRightInd w:val="0"/>
        <w:spacing w:after="164"/>
        <w:ind w:left="360"/>
        <w:rPr>
          <w:rFonts w:eastAsiaTheme="minorHAnsi" w:cs="Arial"/>
          <w:b/>
          <w:color w:val="000000"/>
          <w:szCs w:val="24"/>
        </w:rPr>
      </w:pPr>
    </w:p>
    <w:p w14:paraId="02C3EDDF" w14:textId="77777777" w:rsidR="00400742" w:rsidRPr="00CC2C89" w:rsidRDefault="00400742" w:rsidP="00400742">
      <w:pPr>
        <w:pStyle w:val="ListParagraph"/>
        <w:numPr>
          <w:ilvl w:val="0"/>
          <w:numId w:val="8"/>
        </w:numPr>
        <w:autoSpaceDE w:val="0"/>
        <w:autoSpaceDN w:val="0"/>
        <w:adjustRightInd w:val="0"/>
        <w:spacing w:after="164"/>
        <w:rPr>
          <w:rFonts w:eastAsiaTheme="minorHAnsi" w:cs="Arial"/>
          <w:b/>
          <w:color w:val="000000"/>
          <w:szCs w:val="24"/>
          <w:u w:val="single"/>
        </w:rPr>
      </w:pPr>
      <w:r w:rsidRPr="00CC2C89">
        <w:rPr>
          <w:rFonts w:eastAsiaTheme="minorHAnsi" w:cs="Arial"/>
          <w:bCs w:val="0"/>
          <w:color w:val="000000"/>
          <w:szCs w:val="24"/>
        </w:rPr>
        <w:t xml:space="preserve">Adults should aim to be active daily. Over a week, activity should add up to at least 150 minutes (2½ hours) of moderate intensity activity in bouts of 10 minutes or more – one way to approach this is to do 30 minutes on at least 5 days a week. </w:t>
      </w:r>
    </w:p>
    <w:p w14:paraId="3189419B" w14:textId="77777777" w:rsidR="00400742" w:rsidRPr="00CC2C89" w:rsidRDefault="00400742" w:rsidP="00400742">
      <w:pPr>
        <w:pStyle w:val="ListParagraph"/>
        <w:numPr>
          <w:ilvl w:val="0"/>
          <w:numId w:val="8"/>
        </w:numPr>
        <w:autoSpaceDE w:val="0"/>
        <w:autoSpaceDN w:val="0"/>
        <w:adjustRightInd w:val="0"/>
        <w:spacing w:after="164"/>
        <w:rPr>
          <w:rFonts w:eastAsiaTheme="minorHAnsi" w:cs="Arial"/>
          <w:bCs w:val="0"/>
          <w:color w:val="000000"/>
          <w:szCs w:val="24"/>
        </w:rPr>
      </w:pPr>
      <w:r w:rsidRPr="00CC2C89">
        <w:rPr>
          <w:rFonts w:eastAsiaTheme="minorHAnsi" w:cs="Arial"/>
          <w:bCs w:val="0"/>
          <w:color w:val="000000"/>
          <w:szCs w:val="24"/>
        </w:rPr>
        <w:t xml:space="preserve">Alternatively, comparable benefits can be achieved through 75 minutes of vigorous intensity activity spread across the week or combinations of moderate and vigorous intensity activity. </w:t>
      </w:r>
    </w:p>
    <w:p w14:paraId="79A6969F" w14:textId="77777777" w:rsidR="00400742" w:rsidRPr="00CC2C89" w:rsidRDefault="00400742" w:rsidP="00400742">
      <w:pPr>
        <w:pStyle w:val="ListParagraph"/>
        <w:numPr>
          <w:ilvl w:val="0"/>
          <w:numId w:val="8"/>
        </w:numPr>
        <w:autoSpaceDE w:val="0"/>
        <w:autoSpaceDN w:val="0"/>
        <w:adjustRightInd w:val="0"/>
        <w:spacing w:after="164"/>
        <w:rPr>
          <w:rFonts w:eastAsiaTheme="minorHAnsi" w:cs="Arial"/>
          <w:bCs w:val="0"/>
          <w:color w:val="000000"/>
          <w:szCs w:val="24"/>
        </w:rPr>
      </w:pPr>
      <w:r w:rsidRPr="00CC2C89">
        <w:rPr>
          <w:rFonts w:eastAsiaTheme="minorHAnsi" w:cs="Arial"/>
          <w:bCs w:val="0"/>
          <w:color w:val="000000"/>
          <w:szCs w:val="24"/>
        </w:rPr>
        <w:t xml:space="preserve">Adults should also undertake physical activity to improve muscle strength on at least two days a week. </w:t>
      </w:r>
    </w:p>
    <w:p w14:paraId="06ED5544" w14:textId="77777777" w:rsidR="00400742" w:rsidRPr="00E75D62" w:rsidRDefault="00400742" w:rsidP="00400742">
      <w:pPr>
        <w:pStyle w:val="ListParagraph"/>
        <w:numPr>
          <w:ilvl w:val="0"/>
          <w:numId w:val="8"/>
        </w:numPr>
        <w:autoSpaceDE w:val="0"/>
        <w:autoSpaceDN w:val="0"/>
        <w:adjustRightInd w:val="0"/>
        <w:rPr>
          <w:rFonts w:eastAsiaTheme="minorHAnsi" w:cs="Arial"/>
          <w:bCs w:val="0"/>
          <w:color w:val="000000"/>
          <w:szCs w:val="24"/>
        </w:rPr>
      </w:pPr>
      <w:r w:rsidRPr="00E75D62">
        <w:rPr>
          <w:rFonts w:eastAsiaTheme="minorHAnsi" w:cs="Arial"/>
          <w:bCs w:val="0"/>
          <w:color w:val="000000"/>
          <w:szCs w:val="24"/>
        </w:rPr>
        <w:t xml:space="preserve">All adults should minimise the amount of time spent being sedentary (sitting) for extended periods. </w:t>
      </w:r>
    </w:p>
    <w:p w14:paraId="14B529CA" w14:textId="31C475DB" w:rsidR="00CC2C89" w:rsidRPr="00400742" w:rsidRDefault="00CC2C89" w:rsidP="00400742">
      <w:pPr>
        <w:autoSpaceDE w:val="0"/>
        <w:autoSpaceDN w:val="0"/>
        <w:adjustRightInd w:val="0"/>
        <w:ind w:left="360"/>
        <w:rPr>
          <w:rFonts w:eastAsiaTheme="minorHAnsi" w:cs="Arial"/>
          <w:bCs w:val="0"/>
          <w:color w:val="000000"/>
          <w:szCs w:val="24"/>
        </w:rPr>
      </w:pPr>
      <w:r w:rsidRPr="00400742">
        <w:rPr>
          <w:rFonts w:eastAsiaTheme="minorHAnsi" w:cs="Arial"/>
          <w:bCs w:val="0"/>
          <w:color w:val="000000"/>
          <w:szCs w:val="24"/>
        </w:rPr>
        <w:t xml:space="preserve"> </w:t>
      </w:r>
    </w:p>
    <w:sectPr w:rsidR="00CC2C89" w:rsidRPr="00400742" w:rsidSect="006B2327">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4C628" w14:textId="77777777" w:rsidR="0047277D" w:rsidRDefault="0047277D" w:rsidP="00AD55CE">
      <w:r>
        <w:separator/>
      </w:r>
    </w:p>
  </w:endnote>
  <w:endnote w:type="continuationSeparator" w:id="0">
    <w:p w14:paraId="5B3D7EFA" w14:textId="77777777" w:rsidR="0047277D" w:rsidRDefault="0047277D"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9652" w14:textId="77777777" w:rsidR="00ED40DC" w:rsidRDefault="00ED4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73243"/>
      <w:docPartObj>
        <w:docPartGallery w:val="Page Numbers (Bottom of Page)"/>
        <w:docPartUnique/>
      </w:docPartObj>
    </w:sdtPr>
    <w:sdtEndPr>
      <w:rPr>
        <w:noProof/>
      </w:rPr>
    </w:sdtEndPr>
    <w:sdtContent>
      <w:p w14:paraId="52A3D710" w14:textId="63A395B8" w:rsidR="00F30F1C" w:rsidRDefault="00F30F1C">
        <w:pPr>
          <w:pStyle w:val="Footer"/>
          <w:jc w:val="center"/>
        </w:pPr>
        <w:r>
          <w:fldChar w:fldCharType="begin"/>
        </w:r>
        <w:r>
          <w:instrText xml:space="preserve"> PAGE   \* MERGEFORMAT </w:instrText>
        </w:r>
        <w:r>
          <w:fldChar w:fldCharType="separate"/>
        </w:r>
        <w:r w:rsidR="00F4792B">
          <w:rPr>
            <w:noProof/>
          </w:rPr>
          <w:t>1</w:t>
        </w:r>
        <w:r>
          <w:rPr>
            <w:noProof/>
          </w:rPr>
          <w:fldChar w:fldCharType="end"/>
        </w:r>
      </w:p>
    </w:sdtContent>
  </w:sdt>
  <w:p w14:paraId="7FDDBF3D" w14:textId="77777777" w:rsidR="00F30F1C" w:rsidRDefault="00F30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D4C7" w14:textId="77777777" w:rsidR="00ED40DC" w:rsidRDefault="00ED4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28DBB" w14:textId="77777777" w:rsidR="0047277D" w:rsidRDefault="0047277D" w:rsidP="00AD55CE">
      <w:r>
        <w:separator/>
      </w:r>
    </w:p>
  </w:footnote>
  <w:footnote w:type="continuationSeparator" w:id="0">
    <w:p w14:paraId="1F368977" w14:textId="77777777" w:rsidR="0047277D" w:rsidRDefault="0047277D" w:rsidP="00AD5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7C55" w14:textId="5112E701" w:rsidR="00F30F1C" w:rsidRDefault="00F30F1C">
    <w:pPr>
      <w:pStyle w:val="Header"/>
    </w:pPr>
    <w:r>
      <w:rPr>
        <w:noProof/>
        <w:lang w:eastAsia="en-GB"/>
      </w:rPr>
      <mc:AlternateContent>
        <mc:Choice Requires="wps">
          <w:drawing>
            <wp:anchor distT="0" distB="0" distL="114300" distR="114300" simplePos="0" relativeHeight="251656704" behindDoc="1" locked="0" layoutInCell="0" allowOverlap="1" wp14:anchorId="45D2F344" wp14:editId="5EDFF6FB">
              <wp:simplePos x="0" y="0"/>
              <wp:positionH relativeFrom="margin">
                <wp:align>center</wp:align>
              </wp:positionH>
              <wp:positionV relativeFrom="margin">
                <wp:align>center</wp:align>
              </wp:positionV>
              <wp:extent cx="5772150" cy="2308860"/>
              <wp:effectExtent l="0" t="1562100" r="0" b="12630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293EAE" w14:textId="77777777" w:rsidR="00F30F1C" w:rsidRDefault="00F30F1C" w:rsidP="003376AD">
                          <w:pPr>
                            <w:pStyle w:val="NormalWeb"/>
                            <w:spacing w:after="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D2F344" id="_x0000_t202" coordsize="21600,21600" o:spt="202" path="m,l,21600r21600,l21600,xe">
              <v:stroke joinstyle="miter"/>
              <v:path gradientshapeok="t" o:connecttype="rect"/>
            </v:shapetype>
            <v:shape id="WordArt 2" o:spid="_x0000_s1026" type="#_x0000_t202" style="position:absolute;margin-left:0;margin-top:0;width:454.5pt;height:181.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0V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1EOd&#10;FYcCAAD8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14:paraId="0B293EAE" w14:textId="77777777" w:rsidR="00F30F1C" w:rsidRDefault="00F30F1C" w:rsidP="003376AD">
                    <w:pPr>
                      <w:pStyle w:val="NormalWeb"/>
                      <w:spacing w:after="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158A" w14:textId="4F3D6DBB" w:rsidR="00F30F1C" w:rsidRDefault="00F30F1C" w:rsidP="00EB3EFC">
    <w:pPr>
      <w:pStyle w:val="Header"/>
      <w:tabs>
        <w:tab w:val="clear" w:pos="4513"/>
        <w:tab w:val="left" w:pos="7395"/>
      </w:tabs>
      <w:rPr>
        <w:b/>
        <w:sz w:val="32"/>
        <w:szCs w:val="32"/>
      </w:rPr>
    </w:pPr>
    <w:r>
      <w:rPr>
        <w:noProof/>
        <w:lang w:eastAsia="en-GB"/>
      </w:rPr>
      <mc:AlternateContent>
        <mc:Choice Requires="wps">
          <w:drawing>
            <wp:anchor distT="0" distB="0" distL="114300" distR="114300" simplePos="0" relativeHeight="251657728" behindDoc="1" locked="0" layoutInCell="0" allowOverlap="1" wp14:anchorId="033EF0EE" wp14:editId="7137F9A8">
              <wp:simplePos x="0" y="0"/>
              <wp:positionH relativeFrom="margin">
                <wp:align>center</wp:align>
              </wp:positionH>
              <wp:positionV relativeFrom="margin">
                <wp:align>center</wp:align>
              </wp:positionV>
              <wp:extent cx="5772150" cy="2308860"/>
              <wp:effectExtent l="0" t="1562100" r="0" b="126301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B71717" w14:textId="77777777" w:rsidR="00F30F1C" w:rsidRDefault="00F30F1C" w:rsidP="003376AD">
                          <w:pPr>
                            <w:pStyle w:val="NormalWeb"/>
                            <w:spacing w:after="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EF0EE" id="_x0000_t202" coordsize="21600,21600" o:spt="202" path="m,l,21600r21600,l21600,xe">
              <v:stroke joinstyle="miter"/>
              <v:path gradientshapeok="t" o:connecttype="rect"/>
            </v:shapetype>
            <v:shape id="WordArt 3"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" o:allowincell="f" filled="f" stroked="f">
              <v:stroke joinstyle="round"/>
              <o:lock v:ext="edit" shapetype="t"/>
              <v:textbox style="mso-fit-shape-to-text:t">
                <w:txbxContent>
                  <w:p w14:paraId="3CB71717" w14:textId="77777777" w:rsidR="00F30F1C" w:rsidRDefault="00F30F1C" w:rsidP="003376AD">
                    <w:pPr>
                      <w:pStyle w:val="NormalWeb"/>
                      <w:spacing w:after="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32"/>
        <w:szCs w:val="32"/>
      </w:rPr>
      <w:t>DRAFT FINAL</w:t>
    </w:r>
    <w:r w:rsidR="00D71104">
      <w:rPr>
        <w:b/>
        <w:sz w:val="32"/>
        <w:szCs w:val="32"/>
      </w:rPr>
      <w:t xml:space="preserve"> version 2</w:t>
    </w:r>
    <w:r w:rsidR="00ED40DC">
      <w:rPr>
        <w:b/>
        <w:sz w:val="32"/>
        <w:szCs w:val="32"/>
      </w:rPr>
      <w:t>.1</w:t>
    </w:r>
  </w:p>
  <w:p w14:paraId="49F4696F" w14:textId="06D10DCA" w:rsidR="00F30F1C" w:rsidRDefault="00F30F1C" w:rsidP="00AD55CE">
    <w:pPr>
      <w:pStyle w:val="Header"/>
      <w:tabs>
        <w:tab w:val="clear" w:pos="4513"/>
        <w:tab w:val="clear" w:pos="9026"/>
        <w:tab w:val="left" w:pos="7395"/>
      </w:tabs>
      <w:ind w:left="7395"/>
    </w:pPr>
    <w:r>
      <w:rPr>
        <w:noProof/>
        <w:lang w:eastAsia="en-GB"/>
      </w:rPr>
      <w:drawing>
        <wp:inline distT="0" distB="0" distL="0" distR="0" wp14:anchorId="2DA62C23" wp14:editId="5AF8098A">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FCD7" w14:textId="416EF4F2" w:rsidR="00F30F1C" w:rsidRDefault="0047277D">
    <w:pPr>
      <w:pStyle w:val="Header"/>
    </w:pPr>
    <w:r>
      <w:rPr>
        <w:noProof/>
      </w:rPr>
      <w:pict w14:anchorId="6B980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B64"/>
    <w:multiLevelType w:val="hybridMultilevel"/>
    <w:tmpl w:val="CA524AE0"/>
    <w:lvl w:ilvl="0" w:tplc="0809000F">
      <w:start w:val="1"/>
      <w:numFmt w:val="decimal"/>
      <w:lvlText w:val="%1."/>
      <w:lvlJc w:val="left"/>
      <w:pPr>
        <w:ind w:left="360" w:hanging="360"/>
      </w:pPr>
    </w:lvl>
    <w:lvl w:ilvl="1" w:tplc="481841F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612FA3"/>
    <w:multiLevelType w:val="hybridMultilevel"/>
    <w:tmpl w:val="6E1E0276"/>
    <w:lvl w:ilvl="0" w:tplc="C030A220">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E089C"/>
    <w:multiLevelType w:val="hybridMultilevel"/>
    <w:tmpl w:val="0282A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947E73"/>
    <w:multiLevelType w:val="hybridMultilevel"/>
    <w:tmpl w:val="31FE3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97DAC"/>
    <w:multiLevelType w:val="hybridMultilevel"/>
    <w:tmpl w:val="5560AA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793A23F0">
      <w:start w:val="2"/>
      <w:numFmt w:val="upperLetter"/>
      <w:lvlText w:val="%3."/>
      <w:lvlJc w:val="left"/>
      <w:pPr>
        <w:ind w:left="2700" w:hanging="360"/>
      </w:pPr>
      <w:rPr>
        <w:rFonts w:hint="default"/>
        <w:b/>
        <w:sz w:val="22"/>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7C2086"/>
    <w:multiLevelType w:val="hybridMultilevel"/>
    <w:tmpl w:val="EC0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94E5BED"/>
    <w:multiLevelType w:val="hybridMultilevel"/>
    <w:tmpl w:val="52F8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3D5F16"/>
    <w:multiLevelType w:val="hybridMultilevel"/>
    <w:tmpl w:val="073AB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A20D51"/>
    <w:multiLevelType w:val="hybridMultilevel"/>
    <w:tmpl w:val="0C6E52D6"/>
    <w:lvl w:ilvl="0" w:tplc="6C22C584">
      <w:start w:val="1"/>
      <w:numFmt w:val="decimal"/>
      <w:lvlText w:val="%1."/>
      <w:lvlJc w:val="left"/>
      <w:pPr>
        <w:ind w:left="360" w:hanging="360"/>
      </w:pPr>
      <w:rPr>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CFF38CA"/>
    <w:multiLevelType w:val="hybridMultilevel"/>
    <w:tmpl w:val="44C81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E05E16"/>
    <w:multiLevelType w:val="hybridMultilevel"/>
    <w:tmpl w:val="615E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7C30ED"/>
    <w:multiLevelType w:val="hybridMultilevel"/>
    <w:tmpl w:val="25DE1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81A1A1C">
      <w:numFmt w:val="bullet"/>
      <w:lvlText w:val=""/>
      <w:lvlJc w:val="left"/>
      <w:pPr>
        <w:ind w:left="2160" w:hanging="180"/>
      </w:pPr>
      <w:rPr>
        <w:rFonts w:ascii="Wingdings" w:eastAsiaTheme="minorHAnsi" w:hAnsi="Wingdings" w:cstheme="minorBidi" w:hint="default"/>
      </w:rPr>
    </w:lvl>
    <w:lvl w:ilvl="3" w:tplc="0809000B">
      <w:start w:val="1"/>
      <w:numFmt w:val="bullet"/>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4787A2A"/>
    <w:multiLevelType w:val="hybridMultilevel"/>
    <w:tmpl w:val="C142A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85553D"/>
    <w:multiLevelType w:val="hybridMultilevel"/>
    <w:tmpl w:val="7752EC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8B6043"/>
    <w:multiLevelType w:val="hybridMultilevel"/>
    <w:tmpl w:val="01E85ED4"/>
    <w:lvl w:ilvl="0" w:tplc="984C0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7044C5"/>
    <w:multiLevelType w:val="hybridMultilevel"/>
    <w:tmpl w:val="E190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25DCE"/>
    <w:multiLevelType w:val="hybridMultilevel"/>
    <w:tmpl w:val="FAF67378"/>
    <w:lvl w:ilvl="0" w:tplc="315E414E">
      <w:start w:val="1"/>
      <w:numFmt w:val="bullet"/>
      <w:lvlText w:val="•"/>
      <w:lvlJc w:val="left"/>
      <w:pPr>
        <w:tabs>
          <w:tab w:val="num" w:pos="720"/>
        </w:tabs>
        <w:ind w:left="720" w:hanging="360"/>
      </w:pPr>
      <w:rPr>
        <w:rFonts w:ascii="Arial" w:hAnsi="Arial" w:hint="default"/>
      </w:rPr>
    </w:lvl>
    <w:lvl w:ilvl="1" w:tplc="9DA69030" w:tentative="1">
      <w:start w:val="1"/>
      <w:numFmt w:val="bullet"/>
      <w:lvlText w:val="•"/>
      <w:lvlJc w:val="left"/>
      <w:pPr>
        <w:tabs>
          <w:tab w:val="num" w:pos="1440"/>
        </w:tabs>
        <w:ind w:left="1440" w:hanging="360"/>
      </w:pPr>
      <w:rPr>
        <w:rFonts w:ascii="Arial" w:hAnsi="Arial" w:hint="default"/>
      </w:rPr>
    </w:lvl>
    <w:lvl w:ilvl="2" w:tplc="0CCE9F10" w:tentative="1">
      <w:start w:val="1"/>
      <w:numFmt w:val="bullet"/>
      <w:lvlText w:val="•"/>
      <w:lvlJc w:val="left"/>
      <w:pPr>
        <w:tabs>
          <w:tab w:val="num" w:pos="2160"/>
        </w:tabs>
        <w:ind w:left="2160" w:hanging="360"/>
      </w:pPr>
      <w:rPr>
        <w:rFonts w:ascii="Arial" w:hAnsi="Arial" w:hint="default"/>
      </w:rPr>
    </w:lvl>
    <w:lvl w:ilvl="3" w:tplc="D6C28E04" w:tentative="1">
      <w:start w:val="1"/>
      <w:numFmt w:val="bullet"/>
      <w:lvlText w:val="•"/>
      <w:lvlJc w:val="left"/>
      <w:pPr>
        <w:tabs>
          <w:tab w:val="num" w:pos="2880"/>
        </w:tabs>
        <w:ind w:left="2880" w:hanging="360"/>
      </w:pPr>
      <w:rPr>
        <w:rFonts w:ascii="Arial" w:hAnsi="Arial" w:hint="default"/>
      </w:rPr>
    </w:lvl>
    <w:lvl w:ilvl="4" w:tplc="B5F27A46" w:tentative="1">
      <w:start w:val="1"/>
      <w:numFmt w:val="bullet"/>
      <w:lvlText w:val="•"/>
      <w:lvlJc w:val="left"/>
      <w:pPr>
        <w:tabs>
          <w:tab w:val="num" w:pos="3600"/>
        </w:tabs>
        <w:ind w:left="3600" w:hanging="360"/>
      </w:pPr>
      <w:rPr>
        <w:rFonts w:ascii="Arial" w:hAnsi="Arial" w:hint="default"/>
      </w:rPr>
    </w:lvl>
    <w:lvl w:ilvl="5" w:tplc="3B14D62A" w:tentative="1">
      <w:start w:val="1"/>
      <w:numFmt w:val="bullet"/>
      <w:lvlText w:val="•"/>
      <w:lvlJc w:val="left"/>
      <w:pPr>
        <w:tabs>
          <w:tab w:val="num" w:pos="4320"/>
        </w:tabs>
        <w:ind w:left="4320" w:hanging="360"/>
      </w:pPr>
      <w:rPr>
        <w:rFonts w:ascii="Arial" w:hAnsi="Arial" w:hint="default"/>
      </w:rPr>
    </w:lvl>
    <w:lvl w:ilvl="6" w:tplc="A0D6CBA2" w:tentative="1">
      <w:start w:val="1"/>
      <w:numFmt w:val="bullet"/>
      <w:lvlText w:val="•"/>
      <w:lvlJc w:val="left"/>
      <w:pPr>
        <w:tabs>
          <w:tab w:val="num" w:pos="5040"/>
        </w:tabs>
        <w:ind w:left="5040" w:hanging="360"/>
      </w:pPr>
      <w:rPr>
        <w:rFonts w:ascii="Arial" w:hAnsi="Arial" w:hint="default"/>
      </w:rPr>
    </w:lvl>
    <w:lvl w:ilvl="7" w:tplc="B89608C8" w:tentative="1">
      <w:start w:val="1"/>
      <w:numFmt w:val="bullet"/>
      <w:lvlText w:val="•"/>
      <w:lvlJc w:val="left"/>
      <w:pPr>
        <w:tabs>
          <w:tab w:val="num" w:pos="5760"/>
        </w:tabs>
        <w:ind w:left="5760" w:hanging="360"/>
      </w:pPr>
      <w:rPr>
        <w:rFonts w:ascii="Arial" w:hAnsi="Arial" w:hint="default"/>
      </w:rPr>
    </w:lvl>
    <w:lvl w:ilvl="8" w:tplc="4106CED4" w:tentative="1">
      <w:start w:val="1"/>
      <w:numFmt w:val="bullet"/>
      <w:lvlText w:val="•"/>
      <w:lvlJc w:val="left"/>
      <w:pPr>
        <w:tabs>
          <w:tab w:val="num" w:pos="6480"/>
        </w:tabs>
        <w:ind w:left="6480" w:hanging="360"/>
      </w:pPr>
      <w:rPr>
        <w:rFonts w:ascii="Arial" w:hAnsi="Arial" w:hint="default"/>
      </w:rPr>
    </w:lvl>
  </w:abstractNum>
  <w:abstractNum w:abstractNumId="18">
    <w:nsid w:val="4BC74F10"/>
    <w:multiLevelType w:val="hybridMultilevel"/>
    <w:tmpl w:val="BC6CF92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nsid w:val="4C115E08"/>
    <w:multiLevelType w:val="hybridMultilevel"/>
    <w:tmpl w:val="FA76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D13E0D"/>
    <w:multiLevelType w:val="hybridMultilevel"/>
    <w:tmpl w:val="900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D37DD4"/>
    <w:multiLevelType w:val="hybridMultilevel"/>
    <w:tmpl w:val="0F6853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3F6472C"/>
    <w:multiLevelType w:val="hybridMultilevel"/>
    <w:tmpl w:val="EB5CD70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1080" w:hanging="360"/>
      </w:pPr>
      <w:rPr>
        <w:rFonts w:ascii="Symbol" w:hAnsi="Symbol"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64A37C3F"/>
    <w:multiLevelType w:val="hybridMultilevel"/>
    <w:tmpl w:val="BD3A08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F8449D"/>
    <w:multiLevelType w:val="hybridMultilevel"/>
    <w:tmpl w:val="835E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AB28CA"/>
    <w:multiLevelType w:val="hybridMultilevel"/>
    <w:tmpl w:val="0E90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227B76"/>
    <w:multiLevelType w:val="hybridMultilevel"/>
    <w:tmpl w:val="63285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4427D5"/>
    <w:multiLevelType w:val="hybridMultilevel"/>
    <w:tmpl w:val="9A3C97EA"/>
    <w:lvl w:ilvl="0" w:tplc="6A76C1D6">
      <w:start w:val="1"/>
      <w:numFmt w:val="bullet"/>
      <w:lvlText w:val="•"/>
      <w:lvlJc w:val="left"/>
      <w:pPr>
        <w:tabs>
          <w:tab w:val="num" w:pos="720"/>
        </w:tabs>
        <w:ind w:left="720" w:hanging="360"/>
      </w:pPr>
      <w:rPr>
        <w:rFonts w:ascii="Arial" w:hAnsi="Arial" w:hint="default"/>
      </w:rPr>
    </w:lvl>
    <w:lvl w:ilvl="1" w:tplc="E194B11C" w:tentative="1">
      <w:start w:val="1"/>
      <w:numFmt w:val="bullet"/>
      <w:lvlText w:val="•"/>
      <w:lvlJc w:val="left"/>
      <w:pPr>
        <w:tabs>
          <w:tab w:val="num" w:pos="1440"/>
        </w:tabs>
        <w:ind w:left="1440" w:hanging="360"/>
      </w:pPr>
      <w:rPr>
        <w:rFonts w:ascii="Arial" w:hAnsi="Arial" w:hint="default"/>
      </w:rPr>
    </w:lvl>
    <w:lvl w:ilvl="2" w:tplc="1EE49846" w:tentative="1">
      <w:start w:val="1"/>
      <w:numFmt w:val="bullet"/>
      <w:lvlText w:val="•"/>
      <w:lvlJc w:val="left"/>
      <w:pPr>
        <w:tabs>
          <w:tab w:val="num" w:pos="2160"/>
        </w:tabs>
        <w:ind w:left="2160" w:hanging="360"/>
      </w:pPr>
      <w:rPr>
        <w:rFonts w:ascii="Arial" w:hAnsi="Arial" w:hint="default"/>
      </w:rPr>
    </w:lvl>
    <w:lvl w:ilvl="3" w:tplc="3C420198" w:tentative="1">
      <w:start w:val="1"/>
      <w:numFmt w:val="bullet"/>
      <w:lvlText w:val="•"/>
      <w:lvlJc w:val="left"/>
      <w:pPr>
        <w:tabs>
          <w:tab w:val="num" w:pos="2880"/>
        </w:tabs>
        <w:ind w:left="2880" w:hanging="360"/>
      </w:pPr>
      <w:rPr>
        <w:rFonts w:ascii="Arial" w:hAnsi="Arial" w:hint="default"/>
      </w:rPr>
    </w:lvl>
    <w:lvl w:ilvl="4" w:tplc="5CF230AE" w:tentative="1">
      <w:start w:val="1"/>
      <w:numFmt w:val="bullet"/>
      <w:lvlText w:val="•"/>
      <w:lvlJc w:val="left"/>
      <w:pPr>
        <w:tabs>
          <w:tab w:val="num" w:pos="3600"/>
        </w:tabs>
        <w:ind w:left="3600" w:hanging="360"/>
      </w:pPr>
      <w:rPr>
        <w:rFonts w:ascii="Arial" w:hAnsi="Arial" w:hint="default"/>
      </w:rPr>
    </w:lvl>
    <w:lvl w:ilvl="5" w:tplc="DF9293B8" w:tentative="1">
      <w:start w:val="1"/>
      <w:numFmt w:val="bullet"/>
      <w:lvlText w:val="•"/>
      <w:lvlJc w:val="left"/>
      <w:pPr>
        <w:tabs>
          <w:tab w:val="num" w:pos="4320"/>
        </w:tabs>
        <w:ind w:left="4320" w:hanging="360"/>
      </w:pPr>
      <w:rPr>
        <w:rFonts w:ascii="Arial" w:hAnsi="Arial" w:hint="default"/>
      </w:rPr>
    </w:lvl>
    <w:lvl w:ilvl="6" w:tplc="8F2AE514" w:tentative="1">
      <w:start w:val="1"/>
      <w:numFmt w:val="bullet"/>
      <w:lvlText w:val="•"/>
      <w:lvlJc w:val="left"/>
      <w:pPr>
        <w:tabs>
          <w:tab w:val="num" w:pos="5040"/>
        </w:tabs>
        <w:ind w:left="5040" w:hanging="360"/>
      </w:pPr>
      <w:rPr>
        <w:rFonts w:ascii="Arial" w:hAnsi="Arial" w:hint="default"/>
      </w:rPr>
    </w:lvl>
    <w:lvl w:ilvl="7" w:tplc="AB1E3642" w:tentative="1">
      <w:start w:val="1"/>
      <w:numFmt w:val="bullet"/>
      <w:lvlText w:val="•"/>
      <w:lvlJc w:val="left"/>
      <w:pPr>
        <w:tabs>
          <w:tab w:val="num" w:pos="5760"/>
        </w:tabs>
        <w:ind w:left="5760" w:hanging="360"/>
      </w:pPr>
      <w:rPr>
        <w:rFonts w:ascii="Arial" w:hAnsi="Arial" w:hint="default"/>
      </w:rPr>
    </w:lvl>
    <w:lvl w:ilvl="8" w:tplc="E97A7C4A" w:tentative="1">
      <w:start w:val="1"/>
      <w:numFmt w:val="bullet"/>
      <w:lvlText w:val="•"/>
      <w:lvlJc w:val="left"/>
      <w:pPr>
        <w:tabs>
          <w:tab w:val="num" w:pos="6480"/>
        </w:tabs>
        <w:ind w:left="6480" w:hanging="360"/>
      </w:pPr>
      <w:rPr>
        <w:rFonts w:ascii="Arial" w:hAnsi="Arial" w:hint="default"/>
      </w:rPr>
    </w:lvl>
  </w:abstractNum>
  <w:abstractNum w:abstractNumId="28">
    <w:nsid w:val="715B7A7B"/>
    <w:multiLevelType w:val="hybridMultilevel"/>
    <w:tmpl w:val="75E69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42E69B8"/>
    <w:multiLevelType w:val="hybridMultilevel"/>
    <w:tmpl w:val="9E4085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3362D8"/>
    <w:multiLevelType w:val="hybridMultilevel"/>
    <w:tmpl w:val="6734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E8464FE"/>
    <w:multiLevelType w:val="hybridMultilevel"/>
    <w:tmpl w:val="50C61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9"/>
  </w:num>
  <w:num w:numId="3">
    <w:abstractNumId w:val="14"/>
  </w:num>
  <w:num w:numId="4">
    <w:abstractNumId w:val="25"/>
  </w:num>
  <w:num w:numId="5">
    <w:abstractNumId w:val="16"/>
  </w:num>
  <w:num w:numId="6">
    <w:abstractNumId w:val="20"/>
  </w:num>
  <w:num w:numId="7">
    <w:abstractNumId w:val="15"/>
  </w:num>
  <w:num w:numId="8">
    <w:abstractNumId w:val="1"/>
  </w:num>
  <w:num w:numId="9">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0"/>
  </w:num>
  <w:num w:numId="13">
    <w:abstractNumId w:val="18"/>
  </w:num>
  <w:num w:numId="14">
    <w:abstractNumId w:val="13"/>
  </w:num>
  <w:num w:numId="15">
    <w:abstractNumId w:val="31"/>
  </w:num>
  <w:num w:numId="16">
    <w:abstractNumId w:val="8"/>
  </w:num>
  <w:num w:numId="17">
    <w:abstractNumId w:val="26"/>
  </w:num>
  <w:num w:numId="18">
    <w:abstractNumId w:val="12"/>
  </w:num>
  <w:num w:numId="19">
    <w:abstractNumId w:val="4"/>
  </w:num>
  <w:num w:numId="20">
    <w:abstractNumId w:val="28"/>
  </w:num>
  <w:num w:numId="21">
    <w:abstractNumId w:val="22"/>
  </w:num>
  <w:num w:numId="22">
    <w:abstractNumId w:val="19"/>
  </w:num>
  <w:num w:numId="23">
    <w:abstractNumId w:val="9"/>
  </w:num>
  <w:num w:numId="24">
    <w:abstractNumId w:val="2"/>
  </w:num>
  <w:num w:numId="25">
    <w:abstractNumId w:val="23"/>
  </w:num>
  <w:num w:numId="26">
    <w:abstractNumId w:val="24"/>
  </w:num>
  <w:num w:numId="27">
    <w:abstractNumId w:val="7"/>
  </w:num>
  <w:num w:numId="28">
    <w:abstractNumId w:val="5"/>
  </w:num>
  <w:num w:numId="29">
    <w:abstractNumId w:val="3"/>
  </w:num>
  <w:num w:numId="30">
    <w:abstractNumId w:val="10"/>
  </w:num>
  <w:num w:numId="31">
    <w:abstractNumId w:val="1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69"/>
    <w:rsid w:val="0001254D"/>
    <w:rsid w:val="000146A0"/>
    <w:rsid w:val="00023708"/>
    <w:rsid w:val="000240AD"/>
    <w:rsid w:val="0003389B"/>
    <w:rsid w:val="00043230"/>
    <w:rsid w:val="00052447"/>
    <w:rsid w:val="00065966"/>
    <w:rsid w:val="00073D1A"/>
    <w:rsid w:val="000828E5"/>
    <w:rsid w:val="00084921"/>
    <w:rsid w:val="000A0492"/>
    <w:rsid w:val="000D06A4"/>
    <w:rsid w:val="000D576D"/>
    <w:rsid w:val="000D5D6B"/>
    <w:rsid w:val="000E33C9"/>
    <w:rsid w:val="000F05BC"/>
    <w:rsid w:val="000F3C6A"/>
    <w:rsid w:val="001266FA"/>
    <w:rsid w:val="001350E0"/>
    <w:rsid w:val="00150AC8"/>
    <w:rsid w:val="00152870"/>
    <w:rsid w:val="00154269"/>
    <w:rsid w:val="00162909"/>
    <w:rsid w:val="00182AEF"/>
    <w:rsid w:val="00183C99"/>
    <w:rsid w:val="00183EB0"/>
    <w:rsid w:val="0018544B"/>
    <w:rsid w:val="001E0641"/>
    <w:rsid w:val="001E3BC4"/>
    <w:rsid w:val="001E5AA8"/>
    <w:rsid w:val="001F421F"/>
    <w:rsid w:val="001F6AA3"/>
    <w:rsid w:val="002002C6"/>
    <w:rsid w:val="00211169"/>
    <w:rsid w:val="00227288"/>
    <w:rsid w:val="00231660"/>
    <w:rsid w:val="00233243"/>
    <w:rsid w:val="00234135"/>
    <w:rsid w:val="00236B4F"/>
    <w:rsid w:val="00241E60"/>
    <w:rsid w:val="002506E6"/>
    <w:rsid w:val="0025151B"/>
    <w:rsid w:val="0026417D"/>
    <w:rsid w:val="00265881"/>
    <w:rsid w:val="00281C31"/>
    <w:rsid w:val="002909F6"/>
    <w:rsid w:val="00292053"/>
    <w:rsid w:val="002A0C6F"/>
    <w:rsid w:val="002A3BC1"/>
    <w:rsid w:val="002B330B"/>
    <w:rsid w:val="002C1DAE"/>
    <w:rsid w:val="002C4571"/>
    <w:rsid w:val="002C60C7"/>
    <w:rsid w:val="002D72A1"/>
    <w:rsid w:val="002F5A63"/>
    <w:rsid w:val="002F64F6"/>
    <w:rsid w:val="00300C0A"/>
    <w:rsid w:val="00310F04"/>
    <w:rsid w:val="003119EB"/>
    <w:rsid w:val="00315F37"/>
    <w:rsid w:val="00315F8B"/>
    <w:rsid w:val="00316D83"/>
    <w:rsid w:val="00326B23"/>
    <w:rsid w:val="00326ECB"/>
    <w:rsid w:val="003376AD"/>
    <w:rsid w:val="00346B0E"/>
    <w:rsid w:val="0034775E"/>
    <w:rsid w:val="00356337"/>
    <w:rsid w:val="0037358D"/>
    <w:rsid w:val="003759F0"/>
    <w:rsid w:val="00380FB2"/>
    <w:rsid w:val="00392602"/>
    <w:rsid w:val="003A0C63"/>
    <w:rsid w:val="003A1256"/>
    <w:rsid w:val="003E63B9"/>
    <w:rsid w:val="003F1A53"/>
    <w:rsid w:val="003F6359"/>
    <w:rsid w:val="00400742"/>
    <w:rsid w:val="00417089"/>
    <w:rsid w:val="004263C5"/>
    <w:rsid w:val="00427AA6"/>
    <w:rsid w:val="004319E4"/>
    <w:rsid w:val="004429A4"/>
    <w:rsid w:val="00450E03"/>
    <w:rsid w:val="00451775"/>
    <w:rsid w:val="0045431B"/>
    <w:rsid w:val="00467839"/>
    <w:rsid w:val="0047277D"/>
    <w:rsid w:val="00472A65"/>
    <w:rsid w:val="00480EFE"/>
    <w:rsid w:val="004B2DC0"/>
    <w:rsid w:val="004B784D"/>
    <w:rsid w:val="004C2534"/>
    <w:rsid w:val="004C266F"/>
    <w:rsid w:val="004E10CB"/>
    <w:rsid w:val="004E377A"/>
    <w:rsid w:val="004F1A9F"/>
    <w:rsid w:val="004F4999"/>
    <w:rsid w:val="005109A8"/>
    <w:rsid w:val="00512E30"/>
    <w:rsid w:val="00517681"/>
    <w:rsid w:val="00521CC5"/>
    <w:rsid w:val="00530633"/>
    <w:rsid w:val="00533B74"/>
    <w:rsid w:val="00534647"/>
    <w:rsid w:val="0053771A"/>
    <w:rsid w:val="0054275F"/>
    <w:rsid w:val="0054388D"/>
    <w:rsid w:val="00550B45"/>
    <w:rsid w:val="00553BCE"/>
    <w:rsid w:val="0057313B"/>
    <w:rsid w:val="00592B24"/>
    <w:rsid w:val="005931C4"/>
    <w:rsid w:val="005975BA"/>
    <w:rsid w:val="005A02E7"/>
    <w:rsid w:val="005A5EB3"/>
    <w:rsid w:val="005B1BFA"/>
    <w:rsid w:val="005B4861"/>
    <w:rsid w:val="005C1AD6"/>
    <w:rsid w:val="005D3B58"/>
    <w:rsid w:val="005E07A9"/>
    <w:rsid w:val="005E23C5"/>
    <w:rsid w:val="005F1A5F"/>
    <w:rsid w:val="005F551E"/>
    <w:rsid w:val="0060058B"/>
    <w:rsid w:val="006039E2"/>
    <w:rsid w:val="0064172B"/>
    <w:rsid w:val="00650494"/>
    <w:rsid w:val="00671019"/>
    <w:rsid w:val="00683026"/>
    <w:rsid w:val="006B2327"/>
    <w:rsid w:val="006C2BF1"/>
    <w:rsid w:val="006C5FC4"/>
    <w:rsid w:val="006C7F04"/>
    <w:rsid w:val="006E0E85"/>
    <w:rsid w:val="006E3543"/>
    <w:rsid w:val="006F038B"/>
    <w:rsid w:val="006F4E40"/>
    <w:rsid w:val="007164D0"/>
    <w:rsid w:val="00720A86"/>
    <w:rsid w:val="00740A06"/>
    <w:rsid w:val="00742525"/>
    <w:rsid w:val="0074325B"/>
    <w:rsid w:val="007548AA"/>
    <w:rsid w:val="00761B44"/>
    <w:rsid w:val="007A33FD"/>
    <w:rsid w:val="007A7B6B"/>
    <w:rsid w:val="007B3228"/>
    <w:rsid w:val="007D40C1"/>
    <w:rsid w:val="007F7D93"/>
    <w:rsid w:val="00801427"/>
    <w:rsid w:val="00822294"/>
    <w:rsid w:val="008222D5"/>
    <w:rsid w:val="00825DF1"/>
    <w:rsid w:val="00834407"/>
    <w:rsid w:val="0083465E"/>
    <w:rsid w:val="00837BA1"/>
    <w:rsid w:val="00843E59"/>
    <w:rsid w:val="0084461B"/>
    <w:rsid w:val="00847E2A"/>
    <w:rsid w:val="008547F9"/>
    <w:rsid w:val="008620B8"/>
    <w:rsid w:val="00866568"/>
    <w:rsid w:val="008711A8"/>
    <w:rsid w:val="00872E6D"/>
    <w:rsid w:val="008C2AE5"/>
    <w:rsid w:val="008C386A"/>
    <w:rsid w:val="008F1F66"/>
    <w:rsid w:val="00904FA4"/>
    <w:rsid w:val="009105F1"/>
    <w:rsid w:val="00921D2F"/>
    <w:rsid w:val="00923EAB"/>
    <w:rsid w:val="0095577F"/>
    <w:rsid w:val="00970018"/>
    <w:rsid w:val="00970BD6"/>
    <w:rsid w:val="00970EA9"/>
    <w:rsid w:val="00985CBC"/>
    <w:rsid w:val="009B4E6A"/>
    <w:rsid w:val="009B7280"/>
    <w:rsid w:val="009C0AC7"/>
    <w:rsid w:val="009D1128"/>
    <w:rsid w:val="009D2FEB"/>
    <w:rsid w:val="009D54C2"/>
    <w:rsid w:val="009D7CAD"/>
    <w:rsid w:val="009E5DDD"/>
    <w:rsid w:val="009F6382"/>
    <w:rsid w:val="00A012B5"/>
    <w:rsid w:val="00A01DA1"/>
    <w:rsid w:val="00A16EAF"/>
    <w:rsid w:val="00A432C0"/>
    <w:rsid w:val="00A536ED"/>
    <w:rsid w:val="00A643E0"/>
    <w:rsid w:val="00A71C72"/>
    <w:rsid w:val="00A84B3C"/>
    <w:rsid w:val="00A940E2"/>
    <w:rsid w:val="00A95AD1"/>
    <w:rsid w:val="00A95BE1"/>
    <w:rsid w:val="00A97D01"/>
    <w:rsid w:val="00AA425A"/>
    <w:rsid w:val="00AC13A9"/>
    <w:rsid w:val="00AC7443"/>
    <w:rsid w:val="00AD103D"/>
    <w:rsid w:val="00AD3CBF"/>
    <w:rsid w:val="00AD55CE"/>
    <w:rsid w:val="00AE571C"/>
    <w:rsid w:val="00AF12E4"/>
    <w:rsid w:val="00AF3590"/>
    <w:rsid w:val="00AF7B65"/>
    <w:rsid w:val="00B0183E"/>
    <w:rsid w:val="00B0312B"/>
    <w:rsid w:val="00B11C21"/>
    <w:rsid w:val="00B2271C"/>
    <w:rsid w:val="00B33B72"/>
    <w:rsid w:val="00B411D6"/>
    <w:rsid w:val="00B51868"/>
    <w:rsid w:val="00B53152"/>
    <w:rsid w:val="00B53E48"/>
    <w:rsid w:val="00B63290"/>
    <w:rsid w:val="00B66563"/>
    <w:rsid w:val="00B7604C"/>
    <w:rsid w:val="00B77154"/>
    <w:rsid w:val="00B811E7"/>
    <w:rsid w:val="00B82D71"/>
    <w:rsid w:val="00B840A4"/>
    <w:rsid w:val="00B9509C"/>
    <w:rsid w:val="00B96D48"/>
    <w:rsid w:val="00B96F6E"/>
    <w:rsid w:val="00BB03A6"/>
    <w:rsid w:val="00BB243E"/>
    <w:rsid w:val="00BB37CA"/>
    <w:rsid w:val="00BC4AD0"/>
    <w:rsid w:val="00BC4EA9"/>
    <w:rsid w:val="00BD015C"/>
    <w:rsid w:val="00BD521C"/>
    <w:rsid w:val="00BE3CD5"/>
    <w:rsid w:val="00BF12E4"/>
    <w:rsid w:val="00BF681F"/>
    <w:rsid w:val="00C00C64"/>
    <w:rsid w:val="00C0210F"/>
    <w:rsid w:val="00C042DA"/>
    <w:rsid w:val="00C102BB"/>
    <w:rsid w:val="00C12470"/>
    <w:rsid w:val="00C17A29"/>
    <w:rsid w:val="00C25612"/>
    <w:rsid w:val="00C30831"/>
    <w:rsid w:val="00C43E9A"/>
    <w:rsid w:val="00C5784B"/>
    <w:rsid w:val="00C60578"/>
    <w:rsid w:val="00C72A70"/>
    <w:rsid w:val="00C80584"/>
    <w:rsid w:val="00C82522"/>
    <w:rsid w:val="00CA0BEF"/>
    <w:rsid w:val="00CA2512"/>
    <w:rsid w:val="00CA40CD"/>
    <w:rsid w:val="00CA67FB"/>
    <w:rsid w:val="00CC2C89"/>
    <w:rsid w:val="00CC6C8D"/>
    <w:rsid w:val="00CC6D47"/>
    <w:rsid w:val="00CE0163"/>
    <w:rsid w:val="00CF3963"/>
    <w:rsid w:val="00CF76D2"/>
    <w:rsid w:val="00D07AE4"/>
    <w:rsid w:val="00D10ACF"/>
    <w:rsid w:val="00D15C32"/>
    <w:rsid w:val="00D205E0"/>
    <w:rsid w:val="00D27032"/>
    <w:rsid w:val="00D27157"/>
    <w:rsid w:val="00D438E9"/>
    <w:rsid w:val="00D46D39"/>
    <w:rsid w:val="00D516FF"/>
    <w:rsid w:val="00D54163"/>
    <w:rsid w:val="00D55CD8"/>
    <w:rsid w:val="00D57413"/>
    <w:rsid w:val="00D66A56"/>
    <w:rsid w:val="00D71104"/>
    <w:rsid w:val="00D7307A"/>
    <w:rsid w:val="00D858C5"/>
    <w:rsid w:val="00D910E7"/>
    <w:rsid w:val="00D95C75"/>
    <w:rsid w:val="00DB244D"/>
    <w:rsid w:val="00DB50C7"/>
    <w:rsid w:val="00DC1DCB"/>
    <w:rsid w:val="00DC4408"/>
    <w:rsid w:val="00DD3EF8"/>
    <w:rsid w:val="00E15FC1"/>
    <w:rsid w:val="00E160FE"/>
    <w:rsid w:val="00E1733F"/>
    <w:rsid w:val="00E17A0D"/>
    <w:rsid w:val="00E375D6"/>
    <w:rsid w:val="00E4577C"/>
    <w:rsid w:val="00E46059"/>
    <w:rsid w:val="00E47EA7"/>
    <w:rsid w:val="00E64ECB"/>
    <w:rsid w:val="00E65FF8"/>
    <w:rsid w:val="00E75D62"/>
    <w:rsid w:val="00E81AE2"/>
    <w:rsid w:val="00E855AC"/>
    <w:rsid w:val="00E962EC"/>
    <w:rsid w:val="00EA12F1"/>
    <w:rsid w:val="00EA4138"/>
    <w:rsid w:val="00EB05AD"/>
    <w:rsid w:val="00EB0F6A"/>
    <w:rsid w:val="00EB3EFC"/>
    <w:rsid w:val="00EB47F7"/>
    <w:rsid w:val="00EC3C9D"/>
    <w:rsid w:val="00ED40DC"/>
    <w:rsid w:val="00ED6EC2"/>
    <w:rsid w:val="00EF07AF"/>
    <w:rsid w:val="00EF1648"/>
    <w:rsid w:val="00F05CEC"/>
    <w:rsid w:val="00F1161F"/>
    <w:rsid w:val="00F200F9"/>
    <w:rsid w:val="00F21196"/>
    <w:rsid w:val="00F253DD"/>
    <w:rsid w:val="00F30F1C"/>
    <w:rsid w:val="00F42905"/>
    <w:rsid w:val="00F4792B"/>
    <w:rsid w:val="00F47E68"/>
    <w:rsid w:val="00F506AC"/>
    <w:rsid w:val="00F55CBA"/>
    <w:rsid w:val="00F564E3"/>
    <w:rsid w:val="00F57567"/>
    <w:rsid w:val="00F67A21"/>
    <w:rsid w:val="00F71B0E"/>
    <w:rsid w:val="00F726C2"/>
    <w:rsid w:val="00F97E78"/>
    <w:rsid w:val="00FB5DAC"/>
    <w:rsid w:val="00FB68C0"/>
    <w:rsid w:val="00FC18AA"/>
    <w:rsid w:val="00FC3FD3"/>
    <w:rsid w:val="00FC4A20"/>
    <w:rsid w:val="00FD25C2"/>
    <w:rsid w:val="00FD77FA"/>
    <w:rsid w:val="00FE370C"/>
    <w:rsid w:val="00FE3AEC"/>
    <w:rsid w:val="00FF1B94"/>
    <w:rsid w:val="00FF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F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AB"/>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paragraph" w:styleId="NormalWeb">
    <w:name w:val="Normal (Web)"/>
    <w:basedOn w:val="Normal"/>
    <w:uiPriority w:val="99"/>
    <w:unhideWhenUsed/>
    <w:rsid w:val="00F05CEC"/>
    <w:pPr>
      <w:spacing w:after="180"/>
    </w:pPr>
    <w:rPr>
      <w:rFonts w:ascii="Times New Roman" w:hAnsi="Times New Roman"/>
      <w:bCs w:val="0"/>
      <w:szCs w:val="24"/>
      <w:lang w:eastAsia="en-GB"/>
    </w:rPr>
  </w:style>
  <w:style w:type="character" w:styleId="FollowedHyperlink">
    <w:name w:val="FollowedHyperlink"/>
    <w:basedOn w:val="DefaultParagraphFont"/>
    <w:uiPriority w:val="99"/>
    <w:semiHidden/>
    <w:unhideWhenUsed/>
    <w:rsid w:val="00A01DA1"/>
    <w:rPr>
      <w:color w:val="800080" w:themeColor="followedHyperlink"/>
      <w:u w:val="single"/>
    </w:rPr>
  </w:style>
  <w:style w:type="character" w:styleId="CommentReference">
    <w:name w:val="annotation reference"/>
    <w:basedOn w:val="DefaultParagraphFont"/>
    <w:uiPriority w:val="99"/>
    <w:semiHidden/>
    <w:unhideWhenUsed/>
    <w:rsid w:val="00E4577C"/>
    <w:rPr>
      <w:sz w:val="16"/>
      <w:szCs w:val="16"/>
    </w:rPr>
  </w:style>
  <w:style w:type="paragraph" w:styleId="CommentText">
    <w:name w:val="annotation text"/>
    <w:basedOn w:val="Normal"/>
    <w:link w:val="CommentTextChar"/>
    <w:uiPriority w:val="99"/>
    <w:semiHidden/>
    <w:unhideWhenUsed/>
    <w:rsid w:val="00E4577C"/>
    <w:rPr>
      <w:sz w:val="20"/>
      <w:szCs w:val="20"/>
    </w:rPr>
  </w:style>
  <w:style w:type="character" w:customStyle="1" w:styleId="CommentTextChar">
    <w:name w:val="Comment Text Char"/>
    <w:basedOn w:val="DefaultParagraphFont"/>
    <w:link w:val="CommentText"/>
    <w:uiPriority w:val="99"/>
    <w:semiHidden/>
    <w:rsid w:val="00E4577C"/>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D205E0"/>
    <w:rPr>
      <w:b/>
    </w:rPr>
  </w:style>
  <w:style w:type="character" w:customStyle="1" w:styleId="CommentSubjectChar">
    <w:name w:val="Comment Subject Char"/>
    <w:basedOn w:val="CommentTextChar"/>
    <w:link w:val="CommentSubject"/>
    <w:uiPriority w:val="99"/>
    <w:semiHidden/>
    <w:rsid w:val="00D205E0"/>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DD3EF8"/>
    <w:rPr>
      <w:color w:val="808080"/>
      <w:shd w:val="clear" w:color="auto" w:fill="E6E6E6"/>
    </w:rPr>
  </w:style>
  <w:style w:type="character" w:customStyle="1" w:styleId="UnresolvedMention">
    <w:name w:val="Unresolved Mention"/>
    <w:basedOn w:val="DefaultParagraphFont"/>
    <w:uiPriority w:val="99"/>
    <w:semiHidden/>
    <w:unhideWhenUsed/>
    <w:rsid w:val="003376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AB"/>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paragraph" w:styleId="NormalWeb">
    <w:name w:val="Normal (Web)"/>
    <w:basedOn w:val="Normal"/>
    <w:uiPriority w:val="99"/>
    <w:unhideWhenUsed/>
    <w:rsid w:val="00F05CEC"/>
    <w:pPr>
      <w:spacing w:after="180"/>
    </w:pPr>
    <w:rPr>
      <w:rFonts w:ascii="Times New Roman" w:hAnsi="Times New Roman"/>
      <w:bCs w:val="0"/>
      <w:szCs w:val="24"/>
      <w:lang w:eastAsia="en-GB"/>
    </w:rPr>
  </w:style>
  <w:style w:type="character" w:styleId="FollowedHyperlink">
    <w:name w:val="FollowedHyperlink"/>
    <w:basedOn w:val="DefaultParagraphFont"/>
    <w:uiPriority w:val="99"/>
    <w:semiHidden/>
    <w:unhideWhenUsed/>
    <w:rsid w:val="00A01DA1"/>
    <w:rPr>
      <w:color w:val="800080" w:themeColor="followedHyperlink"/>
      <w:u w:val="single"/>
    </w:rPr>
  </w:style>
  <w:style w:type="character" w:styleId="CommentReference">
    <w:name w:val="annotation reference"/>
    <w:basedOn w:val="DefaultParagraphFont"/>
    <w:uiPriority w:val="99"/>
    <w:semiHidden/>
    <w:unhideWhenUsed/>
    <w:rsid w:val="00E4577C"/>
    <w:rPr>
      <w:sz w:val="16"/>
      <w:szCs w:val="16"/>
    </w:rPr>
  </w:style>
  <w:style w:type="paragraph" w:styleId="CommentText">
    <w:name w:val="annotation text"/>
    <w:basedOn w:val="Normal"/>
    <w:link w:val="CommentTextChar"/>
    <w:uiPriority w:val="99"/>
    <w:semiHidden/>
    <w:unhideWhenUsed/>
    <w:rsid w:val="00E4577C"/>
    <w:rPr>
      <w:sz w:val="20"/>
      <w:szCs w:val="20"/>
    </w:rPr>
  </w:style>
  <w:style w:type="character" w:customStyle="1" w:styleId="CommentTextChar">
    <w:name w:val="Comment Text Char"/>
    <w:basedOn w:val="DefaultParagraphFont"/>
    <w:link w:val="CommentText"/>
    <w:uiPriority w:val="99"/>
    <w:semiHidden/>
    <w:rsid w:val="00E4577C"/>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D205E0"/>
    <w:rPr>
      <w:b/>
    </w:rPr>
  </w:style>
  <w:style w:type="character" w:customStyle="1" w:styleId="CommentSubjectChar">
    <w:name w:val="Comment Subject Char"/>
    <w:basedOn w:val="CommentTextChar"/>
    <w:link w:val="CommentSubject"/>
    <w:uiPriority w:val="99"/>
    <w:semiHidden/>
    <w:rsid w:val="00D205E0"/>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DD3EF8"/>
    <w:rPr>
      <w:color w:val="808080"/>
      <w:shd w:val="clear" w:color="auto" w:fill="E6E6E6"/>
    </w:rPr>
  </w:style>
  <w:style w:type="character" w:customStyle="1" w:styleId="UnresolvedMention">
    <w:name w:val="Unresolved Mention"/>
    <w:basedOn w:val="DefaultParagraphFont"/>
    <w:uiPriority w:val="99"/>
    <w:semiHidden/>
    <w:unhideWhenUsed/>
    <w:rsid w:val="00337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341">
      <w:bodyDiv w:val="1"/>
      <w:marLeft w:val="0"/>
      <w:marRight w:val="0"/>
      <w:marTop w:val="0"/>
      <w:marBottom w:val="0"/>
      <w:divBdr>
        <w:top w:val="none" w:sz="0" w:space="0" w:color="auto"/>
        <w:left w:val="none" w:sz="0" w:space="0" w:color="auto"/>
        <w:bottom w:val="none" w:sz="0" w:space="0" w:color="auto"/>
        <w:right w:val="none" w:sz="0" w:space="0" w:color="auto"/>
      </w:divBdr>
    </w:div>
    <w:div w:id="145558576">
      <w:bodyDiv w:val="1"/>
      <w:marLeft w:val="0"/>
      <w:marRight w:val="0"/>
      <w:marTop w:val="0"/>
      <w:marBottom w:val="0"/>
      <w:divBdr>
        <w:top w:val="none" w:sz="0" w:space="0" w:color="auto"/>
        <w:left w:val="none" w:sz="0" w:space="0" w:color="auto"/>
        <w:bottom w:val="none" w:sz="0" w:space="0" w:color="auto"/>
        <w:right w:val="none" w:sz="0" w:space="0" w:color="auto"/>
      </w:divBdr>
    </w:div>
    <w:div w:id="156500949">
      <w:bodyDiv w:val="1"/>
      <w:marLeft w:val="0"/>
      <w:marRight w:val="0"/>
      <w:marTop w:val="0"/>
      <w:marBottom w:val="0"/>
      <w:divBdr>
        <w:top w:val="none" w:sz="0" w:space="0" w:color="auto"/>
        <w:left w:val="none" w:sz="0" w:space="0" w:color="auto"/>
        <w:bottom w:val="none" w:sz="0" w:space="0" w:color="auto"/>
        <w:right w:val="none" w:sz="0" w:space="0" w:color="auto"/>
      </w:divBdr>
      <w:divsChild>
        <w:div w:id="1725251792">
          <w:marLeft w:val="274"/>
          <w:marRight w:val="0"/>
          <w:marTop w:val="0"/>
          <w:marBottom w:val="120"/>
          <w:divBdr>
            <w:top w:val="none" w:sz="0" w:space="0" w:color="auto"/>
            <w:left w:val="none" w:sz="0" w:space="0" w:color="auto"/>
            <w:bottom w:val="none" w:sz="0" w:space="0" w:color="auto"/>
            <w:right w:val="none" w:sz="0" w:space="0" w:color="auto"/>
          </w:divBdr>
        </w:div>
        <w:div w:id="1201164934">
          <w:marLeft w:val="274"/>
          <w:marRight w:val="0"/>
          <w:marTop w:val="0"/>
          <w:marBottom w:val="120"/>
          <w:divBdr>
            <w:top w:val="none" w:sz="0" w:space="0" w:color="auto"/>
            <w:left w:val="none" w:sz="0" w:space="0" w:color="auto"/>
            <w:bottom w:val="none" w:sz="0" w:space="0" w:color="auto"/>
            <w:right w:val="none" w:sz="0" w:space="0" w:color="auto"/>
          </w:divBdr>
        </w:div>
        <w:div w:id="787087714">
          <w:marLeft w:val="274"/>
          <w:marRight w:val="0"/>
          <w:marTop w:val="0"/>
          <w:marBottom w:val="120"/>
          <w:divBdr>
            <w:top w:val="none" w:sz="0" w:space="0" w:color="auto"/>
            <w:left w:val="none" w:sz="0" w:space="0" w:color="auto"/>
            <w:bottom w:val="none" w:sz="0" w:space="0" w:color="auto"/>
            <w:right w:val="none" w:sz="0" w:space="0" w:color="auto"/>
          </w:divBdr>
        </w:div>
      </w:divsChild>
    </w:div>
    <w:div w:id="1027750753">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429502931">
      <w:bodyDiv w:val="1"/>
      <w:marLeft w:val="0"/>
      <w:marRight w:val="0"/>
      <w:marTop w:val="0"/>
      <w:marBottom w:val="0"/>
      <w:divBdr>
        <w:top w:val="none" w:sz="0" w:space="0" w:color="auto"/>
        <w:left w:val="none" w:sz="0" w:space="0" w:color="auto"/>
        <w:bottom w:val="none" w:sz="0" w:space="0" w:color="auto"/>
        <w:right w:val="none" w:sz="0" w:space="0" w:color="auto"/>
      </w:divBdr>
    </w:div>
    <w:div w:id="1705324500">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 w:id="2121608959">
      <w:bodyDiv w:val="1"/>
      <w:marLeft w:val="0"/>
      <w:marRight w:val="0"/>
      <w:marTop w:val="0"/>
      <w:marBottom w:val="0"/>
      <w:divBdr>
        <w:top w:val="none" w:sz="0" w:space="0" w:color="auto"/>
        <w:left w:val="none" w:sz="0" w:space="0" w:color="auto"/>
        <w:bottom w:val="none" w:sz="0" w:space="0" w:color="auto"/>
        <w:right w:val="none" w:sz="0" w:space="0" w:color="auto"/>
      </w:divBdr>
    </w:div>
    <w:div w:id="2122335846">
      <w:bodyDiv w:val="1"/>
      <w:marLeft w:val="0"/>
      <w:marRight w:val="0"/>
      <w:marTop w:val="0"/>
      <w:marBottom w:val="0"/>
      <w:divBdr>
        <w:top w:val="none" w:sz="0" w:space="0" w:color="auto"/>
        <w:left w:val="none" w:sz="0" w:space="0" w:color="auto"/>
        <w:bottom w:val="none" w:sz="0" w:space="0" w:color="auto"/>
        <w:right w:val="none" w:sz="0" w:space="0" w:color="auto"/>
      </w:divBdr>
      <w:divsChild>
        <w:div w:id="202181091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ouise.Davies10@nhs.net" TargetMode="External"/><Relationship Id="rId18" Type="http://schemas.openxmlformats.org/officeDocument/2006/relationships/hyperlink" Target="mailto:joanna.brook-tanker@dhuft.nhs.uk" TargetMode="External"/><Relationship Id="rId26" Type="http://schemas.openxmlformats.org/officeDocument/2006/relationships/hyperlink" Target="https://www.longtermplan.nhs.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91875/obesity_in_mental_health_secure_units.pdf"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ehdi.Veisi@beh-mht.nhs.uk" TargetMode="External"/><Relationship Id="rId25" Type="http://schemas.openxmlformats.org/officeDocument/2006/relationships/hyperlink" Target="https://www.gov.uk/government/publications/healthier-and-more-sustainable-catering-a-toolkit-for-serving-food-to-adult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jesh.moholkar@nhs.net" TargetMode="External"/><Relationship Id="rId20" Type="http://schemas.openxmlformats.org/officeDocument/2006/relationships/hyperlink" Target="https://doi.org/10.1016/S2215-0366(18)30227-X" TargetMode="External"/><Relationship Id="rId29" Type="http://schemas.openxmlformats.org/officeDocument/2006/relationships/hyperlink" Target="https://www.nice.org.uk/guidance/ph5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595129/Healthier_and_more_suistainable_GBSF_checklist.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ouise.Davies10@nhs.net" TargetMode="External"/><Relationship Id="rId23" Type="http://schemas.openxmlformats.org/officeDocument/2006/relationships/hyperlink" Target="https://www.england.nhs.uk/sugar-action/" TargetMode="External"/><Relationship Id="rId28" Type="http://schemas.openxmlformats.org/officeDocument/2006/relationships/hyperlink" Target="https://www.nice.org.uk/guidance/cg189"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longtermplan.nhs.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ouise.Davies10@nhs.net" TargetMode="External"/><Relationship Id="rId22" Type="http://schemas.openxmlformats.org/officeDocument/2006/relationships/hyperlink" Target="https://www.nice.org.uk/guidance/qs111" TargetMode="External"/><Relationship Id="rId27" Type="http://schemas.openxmlformats.org/officeDocument/2006/relationships/hyperlink" Target="https://www.who.int/mental_health/evidence/guidelines_severe_mental_disorders_web_note_2018/en/" TargetMode="External"/><Relationship Id="rId30" Type="http://schemas.openxmlformats.org/officeDocument/2006/relationships/hyperlink" Target="https://www.gov.uk/government/publications/adult-weight-management-services-commission-and-provide"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K57F673QWXRZ-1522804672-175</_dlc_DocId>
    <_dlc_DocIdUrl xmlns="cccaf3ac-2de9-44d4-aa31-54302fceb5f7">
      <Url>https://nhsengland.sharepoint.com/TeamCentre/Operations/SpecialisedCommissioning/TWA/Contracting/contracting1920/_layouts/15/DocIdRedir.aspx?ID=K57F673QWXRZ-1522804672-175</Url>
      <Description>K57F673QWXRZ-1522804672-175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657F-3A6D-4A57-9136-38C989F33E37}">
  <ds:schemaRefs>
    <ds:schemaRef ds:uri="http://schemas.microsoft.com/sharepoint/v3/contenttype/forms"/>
  </ds:schemaRefs>
</ds:datastoreItem>
</file>

<file path=customXml/itemProps2.xml><?xml version="1.0" encoding="utf-8"?>
<ds:datastoreItem xmlns:ds="http://schemas.openxmlformats.org/officeDocument/2006/customXml" ds:itemID="{ABAD7FE3-EDAF-446E-BE91-4B4DE5376D20}">
  <ds:schemaRefs>
    <ds:schemaRef ds:uri="http://schemas.microsoft.com/sharepoint/events"/>
  </ds:schemaRefs>
</ds:datastoreItem>
</file>

<file path=customXml/itemProps3.xml><?xml version="1.0" encoding="utf-8"?>
<ds:datastoreItem xmlns:ds="http://schemas.openxmlformats.org/officeDocument/2006/customXml" ds:itemID="{5AD270BF-BEAC-45DD-B051-23CA16FF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5EBA1-3333-415B-990D-45637F270F2E}">
  <ds:schemaRefs>
    <ds:schemaRef ds:uri="http://schemas.microsoft.com/office/2006/metadata/properties"/>
    <ds:schemaRef ds:uri="http://schemas.microsoft.com/office/infopath/2007/PartnerControls"/>
    <ds:schemaRef ds:uri="cccaf3ac-2de9-44d4-aa31-54302fceb5f7"/>
  </ds:schemaRefs>
</ds:datastoreItem>
</file>

<file path=customXml/itemProps5.xml><?xml version="1.0" encoding="utf-8"?>
<ds:datastoreItem xmlns:ds="http://schemas.openxmlformats.org/officeDocument/2006/customXml" ds:itemID="{32C86088-9B24-495C-8353-73B6D89F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Pirhabi, Nazmin</dc:creator>
  <cp:lastModifiedBy>Harris, Jo</cp:lastModifiedBy>
  <cp:revision>2</cp:revision>
  <dcterms:created xsi:type="dcterms:W3CDTF">2019-07-01T13:39:00Z</dcterms:created>
  <dcterms:modified xsi:type="dcterms:W3CDTF">2019-07-01T13:39:00Z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b62f5894-706f-4b88-804f-70f8acef937c</vt:lpwstr>
  </property>
</Properties>
</file>